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17" w:rsidRPr="006A608C" w:rsidRDefault="00AD3017" w:rsidP="00A426D6">
      <w:pPr>
        <w:spacing w:line="360" w:lineRule="auto"/>
        <w:ind w:left="709"/>
        <w:jc w:val="center"/>
        <w:outlineLvl w:val="0"/>
        <w:rPr>
          <w:b/>
          <w:caps/>
        </w:rPr>
      </w:pPr>
      <w:bookmarkStart w:id="0" w:name="_Toc200703515"/>
      <w:r w:rsidRPr="006A608C">
        <w:rPr>
          <w:b/>
          <w:caps/>
        </w:rPr>
        <w:t>Анализ современной денежно-кредитной политики ЦБ РФ</w:t>
      </w:r>
      <w:bookmarkEnd w:id="0"/>
    </w:p>
    <w:p w:rsidR="00AD3017" w:rsidRPr="006A608C" w:rsidRDefault="00AD3017" w:rsidP="00A426D6">
      <w:pPr>
        <w:spacing w:line="360" w:lineRule="auto"/>
        <w:ind w:firstLine="709"/>
        <w:jc w:val="both"/>
      </w:pPr>
    </w:p>
    <w:p w:rsidR="003932EC" w:rsidRPr="006A608C" w:rsidRDefault="00B17A8D" w:rsidP="00A426D6">
      <w:pPr>
        <w:spacing w:line="360" w:lineRule="auto"/>
        <w:ind w:firstLine="709"/>
        <w:jc w:val="center"/>
        <w:rPr>
          <w:b/>
        </w:rPr>
      </w:pPr>
      <w:r w:rsidRPr="006A608C">
        <w:rPr>
          <w:b/>
        </w:rPr>
        <w:t>Основы регулирования денежно-кредитной политики</w:t>
      </w:r>
    </w:p>
    <w:p w:rsidR="00A65A38" w:rsidRPr="006A608C" w:rsidRDefault="00A65A38" w:rsidP="00A426D6">
      <w:pPr>
        <w:spacing w:line="360" w:lineRule="auto"/>
        <w:ind w:firstLine="709"/>
        <w:jc w:val="both"/>
      </w:pPr>
    </w:p>
    <w:p w:rsidR="000A10E7" w:rsidRPr="006A608C" w:rsidRDefault="00A65A38" w:rsidP="00A426D6">
      <w:pPr>
        <w:spacing w:line="360" w:lineRule="auto"/>
        <w:ind w:firstLine="709"/>
        <w:jc w:val="both"/>
      </w:pPr>
      <w:r w:rsidRPr="006A608C">
        <w:t xml:space="preserve">Денежно-кредитная политика в России носит пассивный характер. Она направлена на снижение инфляции, обеспечение стабильности цен. А должна выполнять двуединую задачу: содействовать устойчивому экономическому росту и увеличению занятости, снижению инфляции. Принципиально важно не просто снижать темпы инфляции, но и повышать инвестиционное обеспечение отечественной экономики. Вопросы экономической политики вновь находятся в центре внимания, в первую очередь, в связи с формированием нового правительства, последними событиями на российских и зарубежных финансовых рынках, предварительным подведением итогов текущего 2007 года. </w:t>
      </w:r>
    </w:p>
    <w:p w:rsidR="000A10E7" w:rsidRPr="006A608C" w:rsidRDefault="000A10E7" w:rsidP="00A426D6">
      <w:pPr>
        <w:spacing w:line="360" w:lineRule="auto"/>
        <w:ind w:firstLine="709"/>
        <w:jc w:val="both"/>
      </w:pPr>
      <w:r w:rsidRPr="006A608C">
        <w:t>В I квартале 2007 года объем ВВП увеличился на 7,9%. Промышленное производство в январе— мае по сравнению с соответствующим периодом предыдущего года возросло на 7,4%. Наиболее быстрыми темпами увеличивался выпуск продукции в обрабатывающих производствах. Высокими темпами росло предложение отдельных видов услуг, особенно связи и розничной торговли.</w:t>
      </w:r>
    </w:p>
    <w:p w:rsidR="000A10E7" w:rsidRPr="006A608C" w:rsidRDefault="000A10E7" w:rsidP="00A426D6">
      <w:pPr>
        <w:spacing w:line="360" w:lineRule="auto"/>
        <w:ind w:firstLine="709"/>
        <w:jc w:val="both"/>
      </w:pPr>
      <w:r w:rsidRPr="006A608C">
        <w:t>Расширение производства поддерживалось значительным увеличением внутреннего спроса. Рост реальных денежных доходов населения обусловливал увеличение потребительских расходов. В январе—апреле расходы населения на покупку товаров и оплату услуг в реальном выражении возросли, по оценке, на 13% к соответствующему периоду предыдущего года. Инвестиции в основн</w:t>
      </w:r>
      <w:r w:rsidR="00A65A38" w:rsidRPr="006A608C">
        <w:t>ой капит</w:t>
      </w:r>
      <w:r w:rsidR="000E6911" w:rsidRPr="006A608C">
        <w:t>ал увеличились на 19,9%</w:t>
      </w:r>
      <w:r w:rsidR="00A65A38" w:rsidRPr="006A608C">
        <w:t>.</w:t>
      </w:r>
    </w:p>
    <w:p w:rsidR="002D3EE0" w:rsidRPr="006A608C" w:rsidRDefault="002D3EE0" w:rsidP="00A426D6">
      <w:pPr>
        <w:spacing w:line="360" w:lineRule="auto"/>
        <w:ind w:firstLine="709"/>
        <w:jc w:val="both"/>
      </w:pPr>
      <w:r w:rsidRPr="006A608C">
        <w:t xml:space="preserve">Потребительские цены в мае 2007 года повысились по сравнению с декабрем предыдущего года на 4,7% (в мае 2006 года— на 5,9%). Инфляция за скользящий 12-месячный период в мае 2007 года составила, по оценкам, </w:t>
      </w:r>
      <w:r w:rsidRPr="006A608C">
        <w:lastRenderedPageBreak/>
        <w:t>7,8%. Замедление роста потребительских цен по сравнению с предыдущим годом было связано, прежде всего, со снижением темпов прироста цен на товары</w:t>
      </w:r>
      <w:r w:rsidR="00A426D6">
        <w:t xml:space="preserve"> </w:t>
      </w:r>
      <w:r w:rsidRPr="006A608C">
        <w:t>до 3,2% по итогам января-мая 2007 года по сравнению с 4,8% за со</w:t>
      </w:r>
      <w:r w:rsidR="00654BEB" w:rsidRPr="006A608C">
        <w:t xml:space="preserve">ответствующий период 2006 года. </w:t>
      </w:r>
      <w:r w:rsidRPr="006A608C">
        <w:t>Уменьшились темпы роста цен на товары и услуги, учитываемые при расчете базового индекса потребительских цен. Базовая инфляция в мае 2007 года по сравнению с декабрем предыдущего года составила 2,5% (в соответствующий период 2006 года— 3,6%). В мае 2007 года за скользящий 12-месячный период она была равна, по оценкам, 6,8%, что на 1,0 процентного пункта меньше, чем в декабре предыдущего года. По оценке, в 2007 году базовая инфляция составит около 7%.</w:t>
      </w:r>
      <w:r w:rsidR="00654BEB" w:rsidRPr="006A608C">
        <w:t xml:space="preserve"> </w:t>
      </w:r>
      <w:r w:rsidRPr="006A608C">
        <w:t>За январь—май 2007 года платные услуги населению подорожали на 9,1% (в соответствующий период 2006 года— на 9,3%). Существенным было удорожание услуг связи— на 10,4% (в соответствующий период 2006 года— на 0,1%). Рост тарифов на услуги жилищно-коммунального хозяйства за январь—май 2007 года замедлился до 12,6%, что на 3,1 процентного пункта меньше аналогичного показателя в 2</w:t>
      </w:r>
      <w:r w:rsidR="00654BEB" w:rsidRPr="006A608C">
        <w:t>006 году (Табл.2.1.1)</w:t>
      </w:r>
    </w:p>
    <w:p w:rsidR="00E01C6B" w:rsidRPr="006A608C" w:rsidRDefault="00E01C6B" w:rsidP="00A426D6">
      <w:pPr>
        <w:spacing w:line="360" w:lineRule="auto"/>
        <w:ind w:firstLine="709"/>
        <w:jc w:val="both"/>
      </w:pPr>
    </w:p>
    <w:p w:rsidR="00654BEB" w:rsidRPr="006A608C" w:rsidRDefault="00654BEB" w:rsidP="00A426D6">
      <w:pPr>
        <w:spacing w:line="360" w:lineRule="auto"/>
        <w:ind w:firstLine="709"/>
        <w:jc w:val="both"/>
      </w:pPr>
      <w:r w:rsidRPr="006A608C">
        <w:t>Табл.2.1.1</w:t>
      </w:r>
    </w:p>
    <w:p w:rsidR="00654BEB" w:rsidRPr="006A608C" w:rsidRDefault="00654BEB" w:rsidP="00A426D6">
      <w:pPr>
        <w:spacing w:line="360" w:lineRule="auto"/>
        <w:ind w:firstLine="709"/>
        <w:jc w:val="both"/>
      </w:pPr>
      <w:r w:rsidRPr="006A608C">
        <w:t xml:space="preserve">Динамика инфляции на потребительском рынке и базовой инфляции </w:t>
      </w:r>
    </w:p>
    <w:p w:rsidR="00654BEB" w:rsidRPr="006A608C" w:rsidRDefault="00654BEB" w:rsidP="00A426D6">
      <w:pPr>
        <w:spacing w:line="360" w:lineRule="auto"/>
        <w:ind w:firstLine="709"/>
        <w:jc w:val="both"/>
      </w:pPr>
      <w:r w:rsidRPr="006A608C">
        <w:t>(с начала года нарастающим итогом,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085"/>
        <w:gridCol w:w="1147"/>
        <w:gridCol w:w="1082"/>
        <w:gridCol w:w="1147"/>
        <w:gridCol w:w="1082"/>
        <w:gridCol w:w="1147"/>
        <w:gridCol w:w="698"/>
        <w:gridCol w:w="843"/>
      </w:tblGrid>
      <w:tr w:rsidR="009D7DEF" w:rsidRPr="00C043F9" w:rsidTr="00C043F9">
        <w:trPr>
          <w:jc w:val="center"/>
        </w:trPr>
        <w:tc>
          <w:tcPr>
            <w:tcW w:w="1339" w:type="dxa"/>
            <w:shd w:val="clear" w:color="auto" w:fill="auto"/>
          </w:tcPr>
          <w:p w:rsidR="00E01C6B" w:rsidRPr="00C043F9" w:rsidRDefault="00E01C6B" w:rsidP="00C043F9">
            <w:pPr>
              <w:spacing w:line="360" w:lineRule="auto"/>
              <w:rPr>
                <w:sz w:val="20"/>
                <w:szCs w:val="20"/>
              </w:rPr>
            </w:pPr>
          </w:p>
        </w:tc>
        <w:tc>
          <w:tcPr>
            <w:tcW w:w="2232" w:type="dxa"/>
            <w:gridSpan w:val="2"/>
            <w:shd w:val="clear" w:color="auto" w:fill="auto"/>
          </w:tcPr>
          <w:p w:rsidR="00E01C6B" w:rsidRPr="00C043F9" w:rsidRDefault="00E01C6B" w:rsidP="00C043F9">
            <w:pPr>
              <w:spacing w:line="360" w:lineRule="auto"/>
              <w:rPr>
                <w:sz w:val="20"/>
                <w:szCs w:val="20"/>
              </w:rPr>
            </w:pPr>
            <w:r w:rsidRPr="00C043F9">
              <w:rPr>
                <w:sz w:val="20"/>
                <w:szCs w:val="20"/>
              </w:rPr>
              <w:t>2004</w:t>
            </w:r>
          </w:p>
        </w:tc>
        <w:tc>
          <w:tcPr>
            <w:tcW w:w="2229" w:type="dxa"/>
            <w:gridSpan w:val="2"/>
            <w:shd w:val="clear" w:color="auto" w:fill="auto"/>
          </w:tcPr>
          <w:p w:rsidR="00E01C6B" w:rsidRPr="00C043F9" w:rsidRDefault="00E01C6B" w:rsidP="00C043F9">
            <w:pPr>
              <w:spacing w:line="360" w:lineRule="auto"/>
              <w:rPr>
                <w:sz w:val="20"/>
                <w:szCs w:val="20"/>
              </w:rPr>
            </w:pPr>
            <w:r w:rsidRPr="00C043F9">
              <w:rPr>
                <w:sz w:val="20"/>
                <w:szCs w:val="20"/>
              </w:rPr>
              <w:t>2005</w:t>
            </w:r>
          </w:p>
        </w:tc>
        <w:tc>
          <w:tcPr>
            <w:tcW w:w="2229" w:type="dxa"/>
            <w:gridSpan w:val="2"/>
            <w:shd w:val="clear" w:color="auto" w:fill="auto"/>
          </w:tcPr>
          <w:p w:rsidR="00E01C6B" w:rsidRPr="00C043F9" w:rsidRDefault="00E01C6B" w:rsidP="00C043F9">
            <w:pPr>
              <w:spacing w:line="360" w:lineRule="auto"/>
              <w:rPr>
                <w:sz w:val="20"/>
                <w:szCs w:val="20"/>
              </w:rPr>
            </w:pPr>
            <w:r w:rsidRPr="00C043F9">
              <w:rPr>
                <w:sz w:val="20"/>
                <w:szCs w:val="20"/>
              </w:rPr>
              <w:t>2006</w:t>
            </w:r>
          </w:p>
        </w:tc>
        <w:tc>
          <w:tcPr>
            <w:tcW w:w="1541" w:type="dxa"/>
            <w:gridSpan w:val="2"/>
            <w:shd w:val="clear" w:color="auto" w:fill="auto"/>
          </w:tcPr>
          <w:p w:rsidR="00E01C6B" w:rsidRPr="00C043F9" w:rsidRDefault="00E01C6B" w:rsidP="00C043F9">
            <w:pPr>
              <w:spacing w:line="360" w:lineRule="auto"/>
              <w:rPr>
                <w:sz w:val="20"/>
                <w:szCs w:val="20"/>
              </w:rPr>
            </w:pPr>
            <w:r w:rsidRPr="00C043F9">
              <w:rPr>
                <w:sz w:val="20"/>
                <w:szCs w:val="20"/>
              </w:rPr>
              <w:t>2007</w:t>
            </w:r>
          </w:p>
        </w:tc>
      </w:tr>
      <w:tr w:rsidR="009D7DEF" w:rsidRPr="00C043F9" w:rsidTr="00C043F9">
        <w:trPr>
          <w:jc w:val="center"/>
        </w:trPr>
        <w:tc>
          <w:tcPr>
            <w:tcW w:w="1339" w:type="dxa"/>
            <w:shd w:val="clear" w:color="auto" w:fill="auto"/>
          </w:tcPr>
          <w:p w:rsidR="00E01C6B" w:rsidRPr="00C043F9" w:rsidRDefault="00E01C6B" w:rsidP="00C043F9">
            <w:pPr>
              <w:spacing w:line="360" w:lineRule="auto"/>
              <w:rPr>
                <w:sz w:val="20"/>
                <w:szCs w:val="20"/>
              </w:rPr>
            </w:pPr>
          </w:p>
        </w:tc>
        <w:tc>
          <w:tcPr>
            <w:tcW w:w="1085" w:type="dxa"/>
            <w:shd w:val="clear" w:color="auto" w:fill="auto"/>
          </w:tcPr>
          <w:p w:rsidR="00E01C6B" w:rsidRPr="00C043F9" w:rsidRDefault="00E01C6B" w:rsidP="00C043F9">
            <w:pPr>
              <w:spacing w:line="360" w:lineRule="auto"/>
              <w:rPr>
                <w:sz w:val="20"/>
                <w:szCs w:val="20"/>
              </w:rPr>
            </w:pPr>
            <w:r w:rsidRPr="00C043F9">
              <w:rPr>
                <w:sz w:val="20"/>
                <w:szCs w:val="20"/>
              </w:rPr>
              <w:t>Б</w:t>
            </w:r>
            <w:r w:rsidR="009D7DEF" w:rsidRPr="00C043F9">
              <w:rPr>
                <w:sz w:val="20"/>
                <w:szCs w:val="20"/>
              </w:rPr>
              <w:t>аз</w:t>
            </w:r>
            <w:r w:rsidRPr="00C043F9">
              <w:rPr>
                <w:sz w:val="20"/>
                <w:szCs w:val="20"/>
              </w:rPr>
              <w:t xml:space="preserve"> </w:t>
            </w:r>
            <w:r w:rsidR="009D7DEF" w:rsidRPr="00C043F9">
              <w:rPr>
                <w:sz w:val="20"/>
                <w:szCs w:val="20"/>
              </w:rPr>
              <w:t>инф</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Инф-</w:t>
            </w:r>
            <w:r w:rsidR="00E01C6B" w:rsidRPr="00C043F9">
              <w:rPr>
                <w:sz w:val="20"/>
                <w:szCs w:val="20"/>
              </w:rPr>
              <w:t>я</w:t>
            </w:r>
          </w:p>
        </w:tc>
        <w:tc>
          <w:tcPr>
            <w:tcW w:w="1082" w:type="dxa"/>
            <w:shd w:val="clear" w:color="auto" w:fill="auto"/>
          </w:tcPr>
          <w:p w:rsidR="00E01C6B" w:rsidRPr="00C043F9" w:rsidRDefault="00E01C6B" w:rsidP="00C043F9">
            <w:pPr>
              <w:spacing w:line="360" w:lineRule="auto"/>
              <w:rPr>
                <w:sz w:val="20"/>
                <w:szCs w:val="20"/>
              </w:rPr>
            </w:pPr>
            <w:r w:rsidRPr="00C043F9">
              <w:rPr>
                <w:sz w:val="20"/>
                <w:szCs w:val="20"/>
              </w:rPr>
              <w:t>Б</w:t>
            </w:r>
            <w:r w:rsidR="009D7DEF" w:rsidRPr="00C043F9">
              <w:rPr>
                <w:sz w:val="20"/>
                <w:szCs w:val="20"/>
              </w:rPr>
              <w:t>аз</w:t>
            </w:r>
            <w:r w:rsidRPr="00C043F9">
              <w:rPr>
                <w:sz w:val="20"/>
                <w:szCs w:val="20"/>
              </w:rPr>
              <w:t xml:space="preserve"> </w:t>
            </w:r>
            <w:r w:rsidR="009D7DEF" w:rsidRPr="00C043F9">
              <w:rPr>
                <w:sz w:val="20"/>
                <w:szCs w:val="20"/>
              </w:rPr>
              <w:t>инф</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Инф-</w:t>
            </w:r>
            <w:r w:rsidR="00E01C6B" w:rsidRPr="00C043F9">
              <w:rPr>
                <w:sz w:val="20"/>
                <w:szCs w:val="20"/>
              </w:rPr>
              <w:t>я</w:t>
            </w:r>
          </w:p>
        </w:tc>
        <w:tc>
          <w:tcPr>
            <w:tcW w:w="1082" w:type="dxa"/>
            <w:shd w:val="clear" w:color="auto" w:fill="auto"/>
          </w:tcPr>
          <w:p w:rsidR="009D7DEF" w:rsidRPr="00C043F9" w:rsidRDefault="00E01C6B" w:rsidP="00C043F9">
            <w:pPr>
              <w:spacing w:line="360" w:lineRule="auto"/>
              <w:rPr>
                <w:sz w:val="20"/>
                <w:szCs w:val="20"/>
              </w:rPr>
            </w:pPr>
            <w:r w:rsidRPr="00C043F9">
              <w:rPr>
                <w:sz w:val="20"/>
                <w:szCs w:val="20"/>
              </w:rPr>
              <w:t>Б</w:t>
            </w:r>
            <w:r w:rsidR="009D7DEF" w:rsidRPr="00C043F9">
              <w:rPr>
                <w:sz w:val="20"/>
                <w:szCs w:val="20"/>
              </w:rPr>
              <w:t>аз</w:t>
            </w:r>
          </w:p>
          <w:p w:rsidR="00E01C6B" w:rsidRPr="00C043F9" w:rsidRDefault="009D7DEF" w:rsidP="00C043F9">
            <w:pPr>
              <w:spacing w:line="360" w:lineRule="auto"/>
              <w:rPr>
                <w:sz w:val="20"/>
                <w:szCs w:val="20"/>
              </w:rPr>
            </w:pPr>
            <w:r w:rsidRPr="00C043F9">
              <w:rPr>
                <w:sz w:val="20"/>
                <w:szCs w:val="20"/>
              </w:rPr>
              <w:t>инф</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Инф-</w:t>
            </w:r>
            <w:r w:rsidR="00E01C6B" w:rsidRPr="00C043F9">
              <w:rPr>
                <w:sz w:val="20"/>
                <w:szCs w:val="20"/>
              </w:rPr>
              <w:t>я</w:t>
            </w:r>
          </w:p>
        </w:tc>
        <w:tc>
          <w:tcPr>
            <w:tcW w:w="698" w:type="dxa"/>
            <w:shd w:val="clear" w:color="auto" w:fill="auto"/>
          </w:tcPr>
          <w:p w:rsidR="009D7DEF" w:rsidRPr="00C043F9" w:rsidRDefault="00E01C6B" w:rsidP="00C043F9">
            <w:pPr>
              <w:spacing w:line="360" w:lineRule="auto"/>
              <w:rPr>
                <w:sz w:val="20"/>
                <w:szCs w:val="20"/>
              </w:rPr>
            </w:pPr>
            <w:r w:rsidRPr="00C043F9">
              <w:rPr>
                <w:sz w:val="20"/>
                <w:szCs w:val="20"/>
              </w:rPr>
              <w:t>Б</w:t>
            </w:r>
            <w:r w:rsidR="009D7DEF" w:rsidRPr="00C043F9">
              <w:rPr>
                <w:sz w:val="20"/>
                <w:szCs w:val="20"/>
              </w:rPr>
              <w:t>аз</w:t>
            </w:r>
          </w:p>
          <w:p w:rsidR="00E01C6B" w:rsidRPr="00C043F9" w:rsidRDefault="009D7DEF" w:rsidP="00C043F9">
            <w:pPr>
              <w:spacing w:line="360" w:lineRule="auto"/>
              <w:rPr>
                <w:sz w:val="20"/>
                <w:szCs w:val="20"/>
              </w:rPr>
            </w:pPr>
            <w:r w:rsidRPr="00C043F9">
              <w:rPr>
                <w:sz w:val="20"/>
                <w:szCs w:val="20"/>
              </w:rPr>
              <w:t>инф</w:t>
            </w:r>
          </w:p>
        </w:tc>
        <w:tc>
          <w:tcPr>
            <w:tcW w:w="843" w:type="dxa"/>
            <w:shd w:val="clear" w:color="auto" w:fill="auto"/>
          </w:tcPr>
          <w:p w:rsidR="00E01C6B" w:rsidRPr="00C043F9" w:rsidRDefault="009D7DEF" w:rsidP="00C043F9">
            <w:pPr>
              <w:spacing w:line="360" w:lineRule="auto"/>
              <w:rPr>
                <w:sz w:val="20"/>
                <w:szCs w:val="20"/>
              </w:rPr>
            </w:pPr>
            <w:r w:rsidRPr="00C043F9">
              <w:rPr>
                <w:sz w:val="20"/>
                <w:szCs w:val="20"/>
              </w:rPr>
              <w:t>Инф-</w:t>
            </w:r>
            <w:r w:rsidR="00E01C6B" w:rsidRPr="00C043F9">
              <w:rPr>
                <w:sz w:val="20"/>
                <w:szCs w:val="20"/>
              </w:rPr>
              <w:t>я</w:t>
            </w:r>
          </w:p>
        </w:tc>
      </w:tr>
      <w:tr w:rsidR="009D7DEF" w:rsidRPr="00C043F9" w:rsidTr="00C043F9">
        <w:trPr>
          <w:jc w:val="center"/>
        </w:trPr>
        <w:tc>
          <w:tcPr>
            <w:tcW w:w="1339" w:type="dxa"/>
            <w:shd w:val="clear" w:color="auto" w:fill="auto"/>
          </w:tcPr>
          <w:p w:rsidR="00E01C6B" w:rsidRPr="00C043F9" w:rsidRDefault="009D7DEF" w:rsidP="00C043F9">
            <w:pPr>
              <w:spacing w:line="360" w:lineRule="auto"/>
              <w:rPr>
                <w:sz w:val="20"/>
                <w:szCs w:val="20"/>
              </w:rPr>
            </w:pPr>
            <w:r w:rsidRPr="00C043F9">
              <w:rPr>
                <w:sz w:val="20"/>
                <w:szCs w:val="20"/>
              </w:rPr>
              <w:t>Январь</w:t>
            </w:r>
          </w:p>
        </w:tc>
        <w:tc>
          <w:tcPr>
            <w:tcW w:w="1085" w:type="dxa"/>
            <w:shd w:val="clear" w:color="auto" w:fill="auto"/>
          </w:tcPr>
          <w:p w:rsidR="00E01C6B" w:rsidRPr="00C043F9" w:rsidRDefault="009D7DEF" w:rsidP="00C043F9">
            <w:pPr>
              <w:spacing w:line="360" w:lineRule="auto"/>
              <w:rPr>
                <w:sz w:val="20"/>
                <w:szCs w:val="20"/>
              </w:rPr>
            </w:pPr>
            <w:r w:rsidRPr="00C043F9">
              <w:rPr>
                <w:sz w:val="20"/>
                <w:szCs w:val="20"/>
              </w:rPr>
              <w:t>0,9</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1,8</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0,9</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2,6</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0,8</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2,4</w:t>
            </w:r>
          </w:p>
        </w:tc>
        <w:tc>
          <w:tcPr>
            <w:tcW w:w="698" w:type="dxa"/>
            <w:shd w:val="clear" w:color="auto" w:fill="auto"/>
          </w:tcPr>
          <w:p w:rsidR="00E01C6B" w:rsidRPr="00C043F9" w:rsidRDefault="009D7DEF" w:rsidP="00C043F9">
            <w:pPr>
              <w:spacing w:line="360" w:lineRule="auto"/>
              <w:rPr>
                <w:sz w:val="20"/>
                <w:szCs w:val="20"/>
              </w:rPr>
            </w:pPr>
            <w:r w:rsidRPr="00C043F9">
              <w:rPr>
                <w:sz w:val="20"/>
                <w:szCs w:val="20"/>
              </w:rPr>
              <w:t>0,6</w:t>
            </w:r>
          </w:p>
        </w:tc>
        <w:tc>
          <w:tcPr>
            <w:tcW w:w="843" w:type="dxa"/>
            <w:shd w:val="clear" w:color="auto" w:fill="auto"/>
          </w:tcPr>
          <w:p w:rsidR="00E01C6B" w:rsidRPr="00C043F9" w:rsidRDefault="009D7DEF" w:rsidP="00C043F9">
            <w:pPr>
              <w:spacing w:line="360" w:lineRule="auto"/>
              <w:rPr>
                <w:sz w:val="20"/>
                <w:szCs w:val="20"/>
              </w:rPr>
            </w:pPr>
            <w:r w:rsidRPr="00C043F9">
              <w:rPr>
                <w:sz w:val="20"/>
                <w:szCs w:val="20"/>
              </w:rPr>
              <w:t>1,7</w:t>
            </w:r>
          </w:p>
        </w:tc>
      </w:tr>
      <w:tr w:rsidR="009D7DEF" w:rsidRPr="00C043F9" w:rsidTr="00C043F9">
        <w:trPr>
          <w:jc w:val="center"/>
        </w:trPr>
        <w:tc>
          <w:tcPr>
            <w:tcW w:w="1339" w:type="dxa"/>
            <w:shd w:val="clear" w:color="auto" w:fill="auto"/>
          </w:tcPr>
          <w:p w:rsidR="00E01C6B" w:rsidRPr="00C043F9" w:rsidRDefault="009D7DEF" w:rsidP="00C043F9">
            <w:pPr>
              <w:spacing w:line="360" w:lineRule="auto"/>
              <w:rPr>
                <w:sz w:val="20"/>
                <w:szCs w:val="20"/>
              </w:rPr>
            </w:pPr>
            <w:r w:rsidRPr="00C043F9">
              <w:rPr>
                <w:sz w:val="20"/>
                <w:szCs w:val="20"/>
              </w:rPr>
              <w:t>Февраль</w:t>
            </w:r>
          </w:p>
        </w:tc>
        <w:tc>
          <w:tcPr>
            <w:tcW w:w="1085" w:type="dxa"/>
            <w:shd w:val="clear" w:color="auto" w:fill="auto"/>
          </w:tcPr>
          <w:p w:rsidR="00E01C6B" w:rsidRPr="00C043F9" w:rsidRDefault="009D7DEF" w:rsidP="00C043F9">
            <w:pPr>
              <w:spacing w:line="360" w:lineRule="auto"/>
              <w:rPr>
                <w:sz w:val="20"/>
                <w:szCs w:val="20"/>
              </w:rPr>
            </w:pPr>
            <w:r w:rsidRPr="00C043F9">
              <w:rPr>
                <w:sz w:val="20"/>
                <w:szCs w:val="20"/>
              </w:rPr>
              <w:t>1,7</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2,8</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1,6</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3,9</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2,0</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4,1</w:t>
            </w:r>
          </w:p>
        </w:tc>
        <w:tc>
          <w:tcPr>
            <w:tcW w:w="698" w:type="dxa"/>
            <w:shd w:val="clear" w:color="auto" w:fill="auto"/>
          </w:tcPr>
          <w:p w:rsidR="00E01C6B" w:rsidRPr="00C043F9" w:rsidRDefault="009D7DEF" w:rsidP="00C043F9">
            <w:pPr>
              <w:spacing w:line="360" w:lineRule="auto"/>
              <w:rPr>
                <w:sz w:val="20"/>
                <w:szCs w:val="20"/>
              </w:rPr>
            </w:pPr>
            <w:r w:rsidRPr="00C043F9">
              <w:rPr>
                <w:sz w:val="20"/>
                <w:szCs w:val="20"/>
              </w:rPr>
              <w:t>1,1</w:t>
            </w:r>
          </w:p>
        </w:tc>
        <w:tc>
          <w:tcPr>
            <w:tcW w:w="843" w:type="dxa"/>
            <w:shd w:val="clear" w:color="auto" w:fill="auto"/>
          </w:tcPr>
          <w:p w:rsidR="00E01C6B" w:rsidRPr="00C043F9" w:rsidRDefault="009D7DEF" w:rsidP="00C043F9">
            <w:pPr>
              <w:spacing w:line="360" w:lineRule="auto"/>
              <w:rPr>
                <w:sz w:val="20"/>
                <w:szCs w:val="20"/>
              </w:rPr>
            </w:pPr>
            <w:r w:rsidRPr="00C043F9">
              <w:rPr>
                <w:sz w:val="20"/>
                <w:szCs w:val="20"/>
              </w:rPr>
              <w:t>2,8</w:t>
            </w:r>
          </w:p>
        </w:tc>
      </w:tr>
      <w:tr w:rsidR="009D7DEF" w:rsidRPr="00C043F9" w:rsidTr="00C043F9">
        <w:trPr>
          <w:jc w:val="center"/>
        </w:trPr>
        <w:tc>
          <w:tcPr>
            <w:tcW w:w="1339" w:type="dxa"/>
            <w:shd w:val="clear" w:color="auto" w:fill="auto"/>
          </w:tcPr>
          <w:p w:rsidR="00E01C6B" w:rsidRPr="00C043F9" w:rsidRDefault="009D7DEF" w:rsidP="00C043F9">
            <w:pPr>
              <w:spacing w:line="360" w:lineRule="auto"/>
              <w:rPr>
                <w:sz w:val="20"/>
                <w:szCs w:val="20"/>
              </w:rPr>
            </w:pPr>
            <w:r w:rsidRPr="00C043F9">
              <w:rPr>
                <w:sz w:val="20"/>
                <w:szCs w:val="20"/>
              </w:rPr>
              <w:t>Март</w:t>
            </w:r>
          </w:p>
        </w:tc>
        <w:tc>
          <w:tcPr>
            <w:tcW w:w="1085" w:type="dxa"/>
            <w:shd w:val="clear" w:color="auto" w:fill="auto"/>
          </w:tcPr>
          <w:p w:rsidR="00E01C6B" w:rsidRPr="00C043F9" w:rsidRDefault="009D7DEF" w:rsidP="00C043F9">
            <w:pPr>
              <w:spacing w:line="360" w:lineRule="auto"/>
              <w:rPr>
                <w:sz w:val="20"/>
                <w:szCs w:val="20"/>
              </w:rPr>
            </w:pPr>
            <w:r w:rsidRPr="00C043F9">
              <w:rPr>
                <w:sz w:val="20"/>
                <w:szCs w:val="20"/>
              </w:rPr>
              <w:t>2,4</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3,5</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2,4</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5,3</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2,8</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5,0</w:t>
            </w:r>
          </w:p>
        </w:tc>
        <w:tc>
          <w:tcPr>
            <w:tcW w:w="698" w:type="dxa"/>
            <w:shd w:val="clear" w:color="auto" w:fill="auto"/>
          </w:tcPr>
          <w:p w:rsidR="00E01C6B" w:rsidRPr="00C043F9" w:rsidRDefault="009D7DEF" w:rsidP="00C043F9">
            <w:pPr>
              <w:spacing w:line="360" w:lineRule="auto"/>
              <w:rPr>
                <w:sz w:val="20"/>
                <w:szCs w:val="20"/>
              </w:rPr>
            </w:pPr>
            <w:r w:rsidRPr="00C043F9">
              <w:rPr>
                <w:sz w:val="20"/>
                <w:szCs w:val="20"/>
              </w:rPr>
              <w:t>1,7</w:t>
            </w:r>
          </w:p>
        </w:tc>
        <w:tc>
          <w:tcPr>
            <w:tcW w:w="843" w:type="dxa"/>
            <w:shd w:val="clear" w:color="auto" w:fill="auto"/>
          </w:tcPr>
          <w:p w:rsidR="00E01C6B" w:rsidRPr="00C043F9" w:rsidRDefault="009D7DEF" w:rsidP="00C043F9">
            <w:pPr>
              <w:spacing w:line="360" w:lineRule="auto"/>
              <w:rPr>
                <w:sz w:val="20"/>
                <w:szCs w:val="20"/>
              </w:rPr>
            </w:pPr>
            <w:r w:rsidRPr="00C043F9">
              <w:rPr>
                <w:sz w:val="20"/>
                <w:szCs w:val="20"/>
              </w:rPr>
              <w:t>3,4</w:t>
            </w:r>
          </w:p>
        </w:tc>
      </w:tr>
      <w:tr w:rsidR="009D7DEF" w:rsidRPr="00C043F9" w:rsidTr="00C043F9">
        <w:trPr>
          <w:jc w:val="center"/>
        </w:trPr>
        <w:tc>
          <w:tcPr>
            <w:tcW w:w="1339" w:type="dxa"/>
            <w:shd w:val="clear" w:color="auto" w:fill="auto"/>
          </w:tcPr>
          <w:p w:rsidR="00E01C6B" w:rsidRPr="00C043F9" w:rsidRDefault="009D7DEF" w:rsidP="00C043F9">
            <w:pPr>
              <w:spacing w:line="360" w:lineRule="auto"/>
              <w:rPr>
                <w:sz w:val="20"/>
                <w:szCs w:val="20"/>
              </w:rPr>
            </w:pPr>
            <w:r w:rsidRPr="00C043F9">
              <w:rPr>
                <w:sz w:val="20"/>
                <w:szCs w:val="20"/>
              </w:rPr>
              <w:t>Апрель</w:t>
            </w:r>
          </w:p>
        </w:tc>
        <w:tc>
          <w:tcPr>
            <w:tcW w:w="1085" w:type="dxa"/>
            <w:shd w:val="clear" w:color="auto" w:fill="auto"/>
          </w:tcPr>
          <w:p w:rsidR="00E01C6B" w:rsidRPr="00C043F9" w:rsidRDefault="009D7DEF" w:rsidP="00C043F9">
            <w:pPr>
              <w:spacing w:line="360" w:lineRule="auto"/>
              <w:rPr>
                <w:sz w:val="20"/>
                <w:szCs w:val="20"/>
              </w:rPr>
            </w:pPr>
            <w:r w:rsidRPr="00C043F9">
              <w:rPr>
                <w:sz w:val="20"/>
                <w:szCs w:val="20"/>
              </w:rPr>
              <w:t>3,2</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4,6</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3,3</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6,5</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3,2</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5,4</w:t>
            </w:r>
          </w:p>
        </w:tc>
        <w:tc>
          <w:tcPr>
            <w:tcW w:w="698" w:type="dxa"/>
            <w:shd w:val="clear" w:color="auto" w:fill="auto"/>
          </w:tcPr>
          <w:p w:rsidR="00E01C6B" w:rsidRPr="00C043F9" w:rsidRDefault="009D7DEF" w:rsidP="00C043F9">
            <w:pPr>
              <w:spacing w:line="360" w:lineRule="auto"/>
              <w:rPr>
                <w:sz w:val="20"/>
                <w:szCs w:val="20"/>
              </w:rPr>
            </w:pPr>
            <w:r w:rsidRPr="00C043F9">
              <w:rPr>
                <w:sz w:val="20"/>
                <w:szCs w:val="20"/>
              </w:rPr>
              <w:t>2,2</w:t>
            </w:r>
          </w:p>
        </w:tc>
        <w:tc>
          <w:tcPr>
            <w:tcW w:w="843" w:type="dxa"/>
            <w:shd w:val="clear" w:color="auto" w:fill="auto"/>
          </w:tcPr>
          <w:p w:rsidR="00E01C6B" w:rsidRPr="00C043F9" w:rsidRDefault="009D7DEF" w:rsidP="00C043F9">
            <w:pPr>
              <w:spacing w:line="360" w:lineRule="auto"/>
              <w:rPr>
                <w:sz w:val="20"/>
                <w:szCs w:val="20"/>
              </w:rPr>
            </w:pPr>
            <w:r w:rsidRPr="00C043F9">
              <w:rPr>
                <w:sz w:val="20"/>
                <w:szCs w:val="20"/>
              </w:rPr>
              <w:t>4,0</w:t>
            </w:r>
          </w:p>
        </w:tc>
      </w:tr>
      <w:tr w:rsidR="009D7DEF" w:rsidRPr="00C043F9" w:rsidTr="00C043F9">
        <w:trPr>
          <w:jc w:val="center"/>
        </w:trPr>
        <w:tc>
          <w:tcPr>
            <w:tcW w:w="1339" w:type="dxa"/>
            <w:shd w:val="clear" w:color="auto" w:fill="auto"/>
          </w:tcPr>
          <w:p w:rsidR="00E01C6B" w:rsidRPr="00C043F9" w:rsidRDefault="009D7DEF" w:rsidP="00C043F9">
            <w:pPr>
              <w:spacing w:line="360" w:lineRule="auto"/>
              <w:rPr>
                <w:sz w:val="20"/>
                <w:szCs w:val="20"/>
              </w:rPr>
            </w:pPr>
            <w:r w:rsidRPr="00C043F9">
              <w:rPr>
                <w:sz w:val="20"/>
                <w:szCs w:val="20"/>
              </w:rPr>
              <w:t>Май</w:t>
            </w:r>
          </w:p>
        </w:tc>
        <w:tc>
          <w:tcPr>
            <w:tcW w:w="1085" w:type="dxa"/>
            <w:shd w:val="clear" w:color="auto" w:fill="auto"/>
          </w:tcPr>
          <w:p w:rsidR="00E01C6B" w:rsidRPr="00C043F9" w:rsidRDefault="009D7DEF" w:rsidP="00C043F9">
            <w:pPr>
              <w:spacing w:line="360" w:lineRule="auto"/>
              <w:rPr>
                <w:sz w:val="20"/>
                <w:szCs w:val="20"/>
              </w:rPr>
            </w:pPr>
            <w:r w:rsidRPr="00C043F9">
              <w:rPr>
                <w:sz w:val="20"/>
                <w:szCs w:val="20"/>
              </w:rPr>
              <w:t>3,8</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5,3</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4,0</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7,3</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3,6</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5,9</w:t>
            </w:r>
          </w:p>
        </w:tc>
        <w:tc>
          <w:tcPr>
            <w:tcW w:w="698" w:type="dxa"/>
            <w:shd w:val="clear" w:color="auto" w:fill="auto"/>
          </w:tcPr>
          <w:p w:rsidR="00E01C6B" w:rsidRPr="00C043F9" w:rsidRDefault="009D7DEF" w:rsidP="00C043F9">
            <w:pPr>
              <w:spacing w:line="360" w:lineRule="auto"/>
              <w:rPr>
                <w:sz w:val="20"/>
                <w:szCs w:val="20"/>
              </w:rPr>
            </w:pPr>
            <w:r w:rsidRPr="00C043F9">
              <w:rPr>
                <w:sz w:val="20"/>
                <w:szCs w:val="20"/>
              </w:rPr>
              <w:t>2,5</w:t>
            </w:r>
          </w:p>
        </w:tc>
        <w:tc>
          <w:tcPr>
            <w:tcW w:w="843" w:type="dxa"/>
            <w:shd w:val="clear" w:color="auto" w:fill="auto"/>
          </w:tcPr>
          <w:p w:rsidR="00E01C6B" w:rsidRPr="00C043F9" w:rsidRDefault="009D7DEF" w:rsidP="00C043F9">
            <w:pPr>
              <w:spacing w:line="360" w:lineRule="auto"/>
              <w:rPr>
                <w:sz w:val="20"/>
                <w:szCs w:val="20"/>
              </w:rPr>
            </w:pPr>
            <w:r w:rsidRPr="00C043F9">
              <w:rPr>
                <w:sz w:val="20"/>
                <w:szCs w:val="20"/>
              </w:rPr>
              <w:t>4,7</w:t>
            </w:r>
          </w:p>
        </w:tc>
      </w:tr>
      <w:tr w:rsidR="009D7DEF" w:rsidRPr="00C043F9" w:rsidTr="00C043F9">
        <w:trPr>
          <w:jc w:val="center"/>
        </w:trPr>
        <w:tc>
          <w:tcPr>
            <w:tcW w:w="1339" w:type="dxa"/>
            <w:shd w:val="clear" w:color="auto" w:fill="auto"/>
          </w:tcPr>
          <w:p w:rsidR="00E01C6B" w:rsidRPr="00C043F9" w:rsidRDefault="009D7DEF" w:rsidP="00C043F9">
            <w:pPr>
              <w:spacing w:line="360" w:lineRule="auto"/>
              <w:rPr>
                <w:sz w:val="20"/>
                <w:szCs w:val="20"/>
              </w:rPr>
            </w:pPr>
            <w:r w:rsidRPr="00C043F9">
              <w:rPr>
                <w:sz w:val="20"/>
                <w:szCs w:val="20"/>
              </w:rPr>
              <w:t>Июнь</w:t>
            </w:r>
          </w:p>
        </w:tc>
        <w:tc>
          <w:tcPr>
            <w:tcW w:w="1085" w:type="dxa"/>
            <w:shd w:val="clear" w:color="auto" w:fill="auto"/>
          </w:tcPr>
          <w:p w:rsidR="00E01C6B" w:rsidRPr="00C043F9" w:rsidRDefault="009D7DEF" w:rsidP="00C043F9">
            <w:pPr>
              <w:spacing w:line="360" w:lineRule="auto"/>
              <w:rPr>
                <w:sz w:val="20"/>
                <w:szCs w:val="20"/>
              </w:rPr>
            </w:pPr>
            <w:r w:rsidRPr="00C043F9">
              <w:rPr>
                <w:sz w:val="20"/>
                <w:szCs w:val="20"/>
              </w:rPr>
              <w:t>4,3</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6,1</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4,4</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8,0</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3,9</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6,2</w:t>
            </w:r>
          </w:p>
        </w:tc>
        <w:tc>
          <w:tcPr>
            <w:tcW w:w="698" w:type="dxa"/>
            <w:shd w:val="clear" w:color="auto" w:fill="auto"/>
          </w:tcPr>
          <w:p w:rsidR="00E01C6B" w:rsidRPr="00C043F9" w:rsidRDefault="009D7DEF" w:rsidP="00C043F9">
            <w:pPr>
              <w:spacing w:line="360" w:lineRule="auto"/>
              <w:rPr>
                <w:sz w:val="20"/>
                <w:szCs w:val="20"/>
              </w:rPr>
            </w:pPr>
            <w:r w:rsidRPr="00C043F9">
              <w:rPr>
                <w:sz w:val="20"/>
                <w:szCs w:val="20"/>
              </w:rPr>
              <w:t>-</w:t>
            </w:r>
          </w:p>
        </w:tc>
        <w:tc>
          <w:tcPr>
            <w:tcW w:w="843" w:type="dxa"/>
            <w:shd w:val="clear" w:color="auto" w:fill="auto"/>
          </w:tcPr>
          <w:p w:rsidR="00E01C6B" w:rsidRPr="00C043F9" w:rsidRDefault="009D7DEF" w:rsidP="00C043F9">
            <w:pPr>
              <w:spacing w:line="360" w:lineRule="auto"/>
              <w:rPr>
                <w:sz w:val="20"/>
                <w:szCs w:val="20"/>
              </w:rPr>
            </w:pPr>
            <w:r w:rsidRPr="00C043F9">
              <w:rPr>
                <w:sz w:val="20"/>
                <w:szCs w:val="20"/>
              </w:rPr>
              <w:t>-</w:t>
            </w:r>
          </w:p>
        </w:tc>
      </w:tr>
      <w:tr w:rsidR="009D7DEF" w:rsidRPr="00C043F9" w:rsidTr="00C043F9">
        <w:trPr>
          <w:jc w:val="center"/>
        </w:trPr>
        <w:tc>
          <w:tcPr>
            <w:tcW w:w="1339" w:type="dxa"/>
            <w:shd w:val="clear" w:color="auto" w:fill="auto"/>
          </w:tcPr>
          <w:p w:rsidR="00E01C6B" w:rsidRPr="00C043F9" w:rsidRDefault="009D7DEF" w:rsidP="00C043F9">
            <w:pPr>
              <w:spacing w:line="360" w:lineRule="auto"/>
              <w:rPr>
                <w:sz w:val="20"/>
                <w:szCs w:val="20"/>
              </w:rPr>
            </w:pPr>
            <w:r w:rsidRPr="00C043F9">
              <w:rPr>
                <w:sz w:val="20"/>
                <w:szCs w:val="20"/>
              </w:rPr>
              <w:t>Июль</w:t>
            </w:r>
          </w:p>
        </w:tc>
        <w:tc>
          <w:tcPr>
            <w:tcW w:w="1085" w:type="dxa"/>
            <w:shd w:val="clear" w:color="auto" w:fill="auto"/>
          </w:tcPr>
          <w:p w:rsidR="00E01C6B" w:rsidRPr="00C043F9" w:rsidRDefault="009D7DEF" w:rsidP="00C043F9">
            <w:pPr>
              <w:spacing w:line="360" w:lineRule="auto"/>
              <w:rPr>
                <w:sz w:val="20"/>
                <w:szCs w:val="20"/>
              </w:rPr>
            </w:pPr>
            <w:r w:rsidRPr="00C043F9">
              <w:rPr>
                <w:sz w:val="20"/>
                <w:szCs w:val="20"/>
              </w:rPr>
              <w:t>5,1</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7,1</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5,0</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8,5</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4,5</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6,9</w:t>
            </w:r>
          </w:p>
        </w:tc>
        <w:tc>
          <w:tcPr>
            <w:tcW w:w="698" w:type="dxa"/>
            <w:shd w:val="clear" w:color="auto" w:fill="auto"/>
          </w:tcPr>
          <w:p w:rsidR="00E01C6B" w:rsidRPr="00C043F9" w:rsidRDefault="009D7DEF" w:rsidP="00C043F9">
            <w:pPr>
              <w:spacing w:line="360" w:lineRule="auto"/>
              <w:rPr>
                <w:sz w:val="20"/>
                <w:szCs w:val="20"/>
              </w:rPr>
            </w:pPr>
            <w:r w:rsidRPr="00C043F9">
              <w:rPr>
                <w:sz w:val="20"/>
                <w:szCs w:val="20"/>
              </w:rPr>
              <w:t>-</w:t>
            </w:r>
          </w:p>
        </w:tc>
        <w:tc>
          <w:tcPr>
            <w:tcW w:w="843" w:type="dxa"/>
            <w:shd w:val="clear" w:color="auto" w:fill="auto"/>
          </w:tcPr>
          <w:p w:rsidR="00E01C6B" w:rsidRPr="00C043F9" w:rsidRDefault="009D7DEF" w:rsidP="00C043F9">
            <w:pPr>
              <w:spacing w:line="360" w:lineRule="auto"/>
              <w:rPr>
                <w:sz w:val="20"/>
                <w:szCs w:val="20"/>
              </w:rPr>
            </w:pPr>
            <w:r w:rsidRPr="00C043F9">
              <w:rPr>
                <w:sz w:val="20"/>
                <w:szCs w:val="20"/>
              </w:rPr>
              <w:t>-</w:t>
            </w:r>
          </w:p>
        </w:tc>
      </w:tr>
      <w:tr w:rsidR="009D7DEF" w:rsidRPr="00C043F9" w:rsidTr="00C043F9">
        <w:trPr>
          <w:jc w:val="center"/>
        </w:trPr>
        <w:tc>
          <w:tcPr>
            <w:tcW w:w="1339" w:type="dxa"/>
            <w:shd w:val="clear" w:color="auto" w:fill="auto"/>
          </w:tcPr>
          <w:p w:rsidR="00E01C6B" w:rsidRPr="00C043F9" w:rsidRDefault="009D7DEF" w:rsidP="00C043F9">
            <w:pPr>
              <w:spacing w:line="360" w:lineRule="auto"/>
              <w:rPr>
                <w:sz w:val="20"/>
                <w:szCs w:val="20"/>
              </w:rPr>
            </w:pPr>
            <w:r w:rsidRPr="00C043F9">
              <w:rPr>
                <w:sz w:val="20"/>
                <w:szCs w:val="20"/>
              </w:rPr>
              <w:t>Август</w:t>
            </w:r>
          </w:p>
        </w:tc>
        <w:tc>
          <w:tcPr>
            <w:tcW w:w="1085" w:type="dxa"/>
            <w:shd w:val="clear" w:color="auto" w:fill="auto"/>
          </w:tcPr>
          <w:p w:rsidR="00E01C6B" w:rsidRPr="00C043F9" w:rsidRDefault="009D7DEF" w:rsidP="00C043F9">
            <w:pPr>
              <w:spacing w:line="360" w:lineRule="auto"/>
              <w:rPr>
                <w:sz w:val="20"/>
                <w:szCs w:val="20"/>
              </w:rPr>
            </w:pPr>
            <w:r w:rsidRPr="00C043F9">
              <w:rPr>
                <w:sz w:val="20"/>
                <w:szCs w:val="20"/>
              </w:rPr>
              <w:t>5,8</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7,6</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5,5</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8,3</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5,1</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7,1</w:t>
            </w:r>
          </w:p>
        </w:tc>
        <w:tc>
          <w:tcPr>
            <w:tcW w:w="698" w:type="dxa"/>
            <w:shd w:val="clear" w:color="auto" w:fill="auto"/>
          </w:tcPr>
          <w:p w:rsidR="00E01C6B" w:rsidRPr="00C043F9" w:rsidRDefault="009D7DEF" w:rsidP="00C043F9">
            <w:pPr>
              <w:spacing w:line="360" w:lineRule="auto"/>
              <w:rPr>
                <w:sz w:val="20"/>
                <w:szCs w:val="20"/>
              </w:rPr>
            </w:pPr>
            <w:r w:rsidRPr="00C043F9">
              <w:rPr>
                <w:sz w:val="20"/>
                <w:szCs w:val="20"/>
              </w:rPr>
              <w:t>-</w:t>
            </w:r>
          </w:p>
        </w:tc>
        <w:tc>
          <w:tcPr>
            <w:tcW w:w="843" w:type="dxa"/>
            <w:shd w:val="clear" w:color="auto" w:fill="auto"/>
          </w:tcPr>
          <w:p w:rsidR="00E01C6B" w:rsidRPr="00C043F9" w:rsidRDefault="009D7DEF" w:rsidP="00C043F9">
            <w:pPr>
              <w:spacing w:line="360" w:lineRule="auto"/>
              <w:rPr>
                <w:sz w:val="20"/>
                <w:szCs w:val="20"/>
              </w:rPr>
            </w:pPr>
            <w:r w:rsidRPr="00C043F9">
              <w:rPr>
                <w:sz w:val="20"/>
                <w:szCs w:val="20"/>
              </w:rPr>
              <w:t>-</w:t>
            </w:r>
          </w:p>
        </w:tc>
      </w:tr>
      <w:tr w:rsidR="009D7DEF" w:rsidRPr="00C043F9" w:rsidTr="00C043F9">
        <w:trPr>
          <w:jc w:val="center"/>
        </w:trPr>
        <w:tc>
          <w:tcPr>
            <w:tcW w:w="1339" w:type="dxa"/>
            <w:shd w:val="clear" w:color="auto" w:fill="auto"/>
          </w:tcPr>
          <w:p w:rsidR="00E01C6B" w:rsidRPr="00C043F9" w:rsidRDefault="009D7DEF" w:rsidP="00C043F9">
            <w:pPr>
              <w:spacing w:line="360" w:lineRule="auto"/>
              <w:rPr>
                <w:sz w:val="20"/>
                <w:szCs w:val="20"/>
              </w:rPr>
            </w:pPr>
            <w:r w:rsidRPr="00C043F9">
              <w:rPr>
                <w:sz w:val="20"/>
                <w:szCs w:val="20"/>
              </w:rPr>
              <w:t>Сентябрь</w:t>
            </w:r>
          </w:p>
        </w:tc>
        <w:tc>
          <w:tcPr>
            <w:tcW w:w="1085" w:type="dxa"/>
            <w:shd w:val="clear" w:color="auto" w:fill="auto"/>
          </w:tcPr>
          <w:p w:rsidR="00E01C6B" w:rsidRPr="00C043F9" w:rsidRDefault="009D7DEF" w:rsidP="00C043F9">
            <w:pPr>
              <w:spacing w:line="360" w:lineRule="auto"/>
              <w:rPr>
                <w:sz w:val="20"/>
                <w:szCs w:val="20"/>
              </w:rPr>
            </w:pPr>
            <w:r w:rsidRPr="00C043F9">
              <w:rPr>
                <w:sz w:val="20"/>
                <w:szCs w:val="20"/>
              </w:rPr>
              <w:t>6,8</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8,0</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6,3</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8,6</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5,9</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7,2</w:t>
            </w:r>
          </w:p>
        </w:tc>
        <w:tc>
          <w:tcPr>
            <w:tcW w:w="698" w:type="dxa"/>
            <w:shd w:val="clear" w:color="auto" w:fill="auto"/>
          </w:tcPr>
          <w:p w:rsidR="00E01C6B" w:rsidRPr="00C043F9" w:rsidRDefault="009D7DEF" w:rsidP="00C043F9">
            <w:pPr>
              <w:spacing w:line="360" w:lineRule="auto"/>
              <w:rPr>
                <w:sz w:val="20"/>
                <w:szCs w:val="20"/>
              </w:rPr>
            </w:pPr>
            <w:r w:rsidRPr="00C043F9">
              <w:rPr>
                <w:sz w:val="20"/>
                <w:szCs w:val="20"/>
              </w:rPr>
              <w:t>-</w:t>
            </w:r>
          </w:p>
        </w:tc>
        <w:tc>
          <w:tcPr>
            <w:tcW w:w="843" w:type="dxa"/>
            <w:shd w:val="clear" w:color="auto" w:fill="auto"/>
          </w:tcPr>
          <w:p w:rsidR="00E01C6B" w:rsidRPr="00C043F9" w:rsidRDefault="009D7DEF" w:rsidP="00C043F9">
            <w:pPr>
              <w:spacing w:line="360" w:lineRule="auto"/>
              <w:rPr>
                <w:sz w:val="20"/>
                <w:szCs w:val="20"/>
              </w:rPr>
            </w:pPr>
            <w:r w:rsidRPr="00C043F9">
              <w:rPr>
                <w:sz w:val="20"/>
                <w:szCs w:val="20"/>
              </w:rPr>
              <w:t>-</w:t>
            </w:r>
          </w:p>
        </w:tc>
      </w:tr>
      <w:tr w:rsidR="009D7DEF" w:rsidRPr="00C043F9" w:rsidTr="00C043F9">
        <w:trPr>
          <w:jc w:val="center"/>
        </w:trPr>
        <w:tc>
          <w:tcPr>
            <w:tcW w:w="1339" w:type="dxa"/>
            <w:shd w:val="clear" w:color="auto" w:fill="auto"/>
          </w:tcPr>
          <w:p w:rsidR="00E01C6B" w:rsidRPr="00C043F9" w:rsidRDefault="009D7DEF" w:rsidP="00C043F9">
            <w:pPr>
              <w:spacing w:line="360" w:lineRule="auto"/>
              <w:rPr>
                <w:sz w:val="20"/>
                <w:szCs w:val="20"/>
              </w:rPr>
            </w:pPr>
            <w:r w:rsidRPr="00C043F9">
              <w:rPr>
                <w:sz w:val="20"/>
                <w:szCs w:val="20"/>
              </w:rPr>
              <w:lastRenderedPageBreak/>
              <w:t>Октябрь</w:t>
            </w:r>
          </w:p>
        </w:tc>
        <w:tc>
          <w:tcPr>
            <w:tcW w:w="1085" w:type="dxa"/>
            <w:shd w:val="clear" w:color="auto" w:fill="auto"/>
          </w:tcPr>
          <w:p w:rsidR="00E01C6B" w:rsidRPr="00C043F9" w:rsidRDefault="009D7DEF" w:rsidP="00C043F9">
            <w:pPr>
              <w:spacing w:line="360" w:lineRule="auto"/>
              <w:rPr>
                <w:sz w:val="20"/>
                <w:szCs w:val="20"/>
              </w:rPr>
            </w:pPr>
            <w:r w:rsidRPr="00C043F9">
              <w:rPr>
                <w:sz w:val="20"/>
                <w:szCs w:val="20"/>
              </w:rPr>
              <w:t>8,1</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9,3</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7,1</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9,2</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6,5</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7,5</w:t>
            </w:r>
          </w:p>
        </w:tc>
        <w:tc>
          <w:tcPr>
            <w:tcW w:w="698" w:type="dxa"/>
            <w:shd w:val="clear" w:color="auto" w:fill="auto"/>
          </w:tcPr>
          <w:p w:rsidR="00E01C6B" w:rsidRPr="00C043F9" w:rsidRDefault="009D7DEF" w:rsidP="00C043F9">
            <w:pPr>
              <w:spacing w:line="360" w:lineRule="auto"/>
              <w:rPr>
                <w:sz w:val="20"/>
                <w:szCs w:val="20"/>
              </w:rPr>
            </w:pPr>
            <w:r w:rsidRPr="00C043F9">
              <w:rPr>
                <w:sz w:val="20"/>
                <w:szCs w:val="20"/>
              </w:rPr>
              <w:t>-</w:t>
            </w:r>
          </w:p>
        </w:tc>
        <w:tc>
          <w:tcPr>
            <w:tcW w:w="843" w:type="dxa"/>
            <w:shd w:val="clear" w:color="auto" w:fill="auto"/>
          </w:tcPr>
          <w:p w:rsidR="00E01C6B" w:rsidRPr="00C043F9" w:rsidRDefault="009D7DEF" w:rsidP="00C043F9">
            <w:pPr>
              <w:spacing w:line="360" w:lineRule="auto"/>
              <w:rPr>
                <w:sz w:val="20"/>
                <w:szCs w:val="20"/>
              </w:rPr>
            </w:pPr>
            <w:r w:rsidRPr="00C043F9">
              <w:rPr>
                <w:sz w:val="20"/>
                <w:szCs w:val="20"/>
              </w:rPr>
              <w:t>-</w:t>
            </w:r>
          </w:p>
        </w:tc>
      </w:tr>
      <w:tr w:rsidR="009D7DEF" w:rsidRPr="00C043F9" w:rsidTr="00C043F9">
        <w:trPr>
          <w:jc w:val="center"/>
        </w:trPr>
        <w:tc>
          <w:tcPr>
            <w:tcW w:w="1339" w:type="dxa"/>
            <w:shd w:val="clear" w:color="auto" w:fill="auto"/>
          </w:tcPr>
          <w:p w:rsidR="00E01C6B" w:rsidRPr="00C043F9" w:rsidRDefault="009D7DEF" w:rsidP="00C043F9">
            <w:pPr>
              <w:spacing w:line="360" w:lineRule="auto"/>
              <w:rPr>
                <w:sz w:val="20"/>
                <w:szCs w:val="20"/>
              </w:rPr>
            </w:pPr>
            <w:r w:rsidRPr="00C043F9">
              <w:rPr>
                <w:sz w:val="20"/>
                <w:szCs w:val="20"/>
              </w:rPr>
              <w:t>Ноябрь</w:t>
            </w:r>
          </w:p>
        </w:tc>
        <w:tc>
          <w:tcPr>
            <w:tcW w:w="1085" w:type="dxa"/>
            <w:shd w:val="clear" w:color="auto" w:fill="auto"/>
          </w:tcPr>
          <w:p w:rsidR="00E01C6B" w:rsidRPr="00C043F9" w:rsidRDefault="009D7DEF" w:rsidP="00C043F9">
            <w:pPr>
              <w:spacing w:line="360" w:lineRule="auto"/>
              <w:rPr>
                <w:sz w:val="20"/>
                <w:szCs w:val="20"/>
              </w:rPr>
            </w:pPr>
            <w:r w:rsidRPr="00C043F9">
              <w:rPr>
                <w:sz w:val="20"/>
                <w:szCs w:val="20"/>
              </w:rPr>
              <w:t>9,3</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10,5</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7,7</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10,0</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7,1</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8,2</w:t>
            </w:r>
          </w:p>
        </w:tc>
        <w:tc>
          <w:tcPr>
            <w:tcW w:w="698" w:type="dxa"/>
            <w:shd w:val="clear" w:color="auto" w:fill="auto"/>
          </w:tcPr>
          <w:p w:rsidR="00E01C6B" w:rsidRPr="00C043F9" w:rsidRDefault="009D7DEF" w:rsidP="00C043F9">
            <w:pPr>
              <w:spacing w:line="360" w:lineRule="auto"/>
              <w:rPr>
                <w:sz w:val="20"/>
                <w:szCs w:val="20"/>
              </w:rPr>
            </w:pPr>
            <w:r w:rsidRPr="00C043F9">
              <w:rPr>
                <w:sz w:val="20"/>
                <w:szCs w:val="20"/>
              </w:rPr>
              <w:t>-</w:t>
            </w:r>
          </w:p>
        </w:tc>
        <w:tc>
          <w:tcPr>
            <w:tcW w:w="843" w:type="dxa"/>
            <w:shd w:val="clear" w:color="auto" w:fill="auto"/>
          </w:tcPr>
          <w:p w:rsidR="00E01C6B" w:rsidRPr="00C043F9" w:rsidRDefault="009D7DEF" w:rsidP="00C043F9">
            <w:pPr>
              <w:spacing w:line="360" w:lineRule="auto"/>
              <w:rPr>
                <w:sz w:val="20"/>
                <w:szCs w:val="20"/>
              </w:rPr>
            </w:pPr>
            <w:r w:rsidRPr="00C043F9">
              <w:rPr>
                <w:sz w:val="20"/>
                <w:szCs w:val="20"/>
              </w:rPr>
              <w:t>-</w:t>
            </w:r>
          </w:p>
        </w:tc>
      </w:tr>
      <w:tr w:rsidR="009D7DEF" w:rsidRPr="00C043F9" w:rsidTr="00C043F9">
        <w:trPr>
          <w:jc w:val="center"/>
        </w:trPr>
        <w:tc>
          <w:tcPr>
            <w:tcW w:w="1339" w:type="dxa"/>
            <w:shd w:val="clear" w:color="auto" w:fill="auto"/>
          </w:tcPr>
          <w:p w:rsidR="00E01C6B" w:rsidRPr="00C043F9" w:rsidRDefault="009D7DEF" w:rsidP="00C043F9">
            <w:pPr>
              <w:spacing w:line="360" w:lineRule="auto"/>
              <w:rPr>
                <w:sz w:val="20"/>
                <w:szCs w:val="20"/>
              </w:rPr>
            </w:pPr>
            <w:r w:rsidRPr="00C043F9">
              <w:rPr>
                <w:sz w:val="20"/>
                <w:szCs w:val="20"/>
              </w:rPr>
              <w:t>декабрь</w:t>
            </w:r>
          </w:p>
        </w:tc>
        <w:tc>
          <w:tcPr>
            <w:tcW w:w="1085" w:type="dxa"/>
            <w:shd w:val="clear" w:color="auto" w:fill="auto"/>
          </w:tcPr>
          <w:p w:rsidR="00E01C6B" w:rsidRPr="00C043F9" w:rsidRDefault="009D7DEF" w:rsidP="00C043F9">
            <w:pPr>
              <w:spacing w:line="360" w:lineRule="auto"/>
              <w:rPr>
                <w:sz w:val="20"/>
                <w:szCs w:val="20"/>
              </w:rPr>
            </w:pPr>
            <w:r w:rsidRPr="00C043F9">
              <w:rPr>
                <w:sz w:val="20"/>
                <w:szCs w:val="20"/>
              </w:rPr>
              <w:t>10,5</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11,7</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8,3</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10,9</w:t>
            </w:r>
          </w:p>
        </w:tc>
        <w:tc>
          <w:tcPr>
            <w:tcW w:w="1082" w:type="dxa"/>
            <w:shd w:val="clear" w:color="auto" w:fill="auto"/>
          </w:tcPr>
          <w:p w:rsidR="00E01C6B" w:rsidRPr="00C043F9" w:rsidRDefault="009D7DEF" w:rsidP="00C043F9">
            <w:pPr>
              <w:spacing w:line="360" w:lineRule="auto"/>
              <w:rPr>
                <w:sz w:val="20"/>
                <w:szCs w:val="20"/>
              </w:rPr>
            </w:pPr>
            <w:r w:rsidRPr="00C043F9">
              <w:rPr>
                <w:sz w:val="20"/>
                <w:szCs w:val="20"/>
              </w:rPr>
              <w:t>7,8</w:t>
            </w:r>
          </w:p>
        </w:tc>
        <w:tc>
          <w:tcPr>
            <w:tcW w:w="1147" w:type="dxa"/>
            <w:shd w:val="clear" w:color="auto" w:fill="auto"/>
          </w:tcPr>
          <w:p w:rsidR="00E01C6B" w:rsidRPr="00C043F9" w:rsidRDefault="009D7DEF" w:rsidP="00C043F9">
            <w:pPr>
              <w:spacing w:line="360" w:lineRule="auto"/>
              <w:rPr>
                <w:sz w:val="20"/>
                <w:szCs w:val="20"/>
              </w:rPr>
            </w:pPr>
            <w:r w:rsidRPr="00C043F9">
              <w:rPr>
                <w:sz w:val="20"/>
                <w:szCs w:val="20"/>
              </w:rPr>
              <w:t>9,0</w:t>
            </w:r>
          </w:p>
        </w:tc>
        <w:tc>
          <w:tcPr>
            <w:tcW w:w="698" w:type="dxa"/>
            <w:shd w:val="clear" w:color="auto" w:fill="auto"/>
          </w:tcPr>
          <w:p w:rsidR="00E01C6B" w:rsidRPr="00C043F9" w:rsidRDefault="009D7DEF" w:rsidP="00C043F9">
            <w:pPr>
              <w:spacing w:line="360" w:lineRule="auto"/>
              <w:rPr>
                <w:sz w:val="20"/>
                <w:szCs w:val="20"/>
              </w:rPr>
            </w:pPr>
            <w:r w:rsidRPr="00C043F9">
              <w:rPr>
                <w:sz w:val="20"/>
                <w:szCs w:val="20"/>
              </w:rPr>
              <w:t>-</w:t>
            </w:r>
          </w:p>
        </w:tc>
        <w:tc>
          <w:tcPr>
            <w:tcW w:w="843" w:type="dxa"/>
            <w:shd w:val="clear" w:color="auto" w:fill="auto"/>
          </w:tcPr>
          <w:p w:rsidR="00E01C6B" w:rsidRPr="00C043F9" w:rsidRDefault="009D7DEF" w:rsidP="00C043F9">
            <w:pPr>
              <w:spacing w:line="360" w:lineRule="auto"/>
              <w:rPr>
                <w:sz w:val="20"/>
                <w:szCs w:val="20"/>
              </w:rPr>
            </w:pPr>
            <w:r w:rsidRPr="00C043F9">
              <w:rPr>
                <w:sz w:val="20"/>
                <w:szCs w:val="20"/>
              </w:rPr>
              <w:t>-</w:t>
            </w:r>
          </w:p>
        </w:tc>
      </w:tr>
    </w:tbl>
    <w:p w:rsidR="00654BEB" w:rsidRPr="006A608C" w:rsidRDefault="00654BEB" w:rsidP="00A426D6">
      <w:pPr>
        <w:spacing w:line="360" w:lineRule="auto"/>
        <w:ind w:firstLine="709"/>
        <w:jc w:val="both"/>
      </w:pPr>
    </w:p>
    <w:p w:rsidR="002D3EE0" w:rsidRPr="006A608C" w:rsidRDefault="002D3EE0" w:rsidP="00A426D6">
      <w:pPr>
        <w:spacing w:line="360" w:lineRule="auto"/>
        <w:ind w:firstLine="709"/>
        <w:jc w:val="both"/>
      </w:pPr>
      <w:r w:rsidRPr="006A608C">
        <w:t>С учетом сложившегося уровня инфляции при отсутствии неожиданно высокого роста цен на отдельные товары и услуги и при соблюдении установленных предельных границ повышения регулируемых цен и тарифов целевой ориентир по инфляции (6,5—8%) в 2007 году будет выполнен.</w:t>
      </w:r>
    </w:p>
    <w:p w:rsidR="00322B94" w:rsidRPr="006A608C" w:rsidRDefault="003D37AD" w:rsidP="00A426D6">
      <w:pPr>
        <w:spacing w:line="360" w:lineRule="auto"/>
        <w:ind w:firstLine="709"/>
        <w:jc w:val="both"/>
      </w:pPr>
      <w:r w:rsidRPr="006A608C">
        <w:t>Замедление инфляции в со</w:t>
      </w:r>
      <w:r w:rsidR="002D3EE0" w:rsidRPr="006A608C">
        <w:t>ответствии с поставленными целями будет способствовать укреплени</w:t>
      </w:r>
      <w:r w:rsidRPr="006A608C">
        <w:t>ю доверия к проводимой денежно</w:t>
      </w:r>
      <w:r w:rsidR="002D3EE0" w:rsidRPr="006A608C">
        <w:t>-кредитной политике, снижению инфляционных ожиданий, формированию условий для перехода к инфляционному таргетированию, что соответствует стратегии обеспечения стабильности общего уровня цен в долгосрочно</w:t>
      </w:r>
      <w:r w:rsidR="00546888" w:rsidRPr="006A608C">
        <w:t>й перспективе.</w:t>
      </w:r>
    </w:p>
    <w:p w:rsidR="00322B94" w:rsidRPr="006A608C" w:rsidRDefault="00322B94" w:rsidP="00A426D6">
      <w:pPr>
        <w:spacing w:line="360" w:lineRule="auto"/>
        <w:ind w:firstLine="709"/>
        <w:jc w:val="both"/>
      </w:pPr>
      <w:r w:rsidRPr="006A608C">
        <w:t>Платежный баланс в январе—марте 2007 года формировался под влиянием снижения цен на мировом рынке нефти, что вызвало ухудшение условий внешней торговли Российской Федерации.</w:t>
      </w:r>
    </w:p>
    <w:p w:rsidR="00322B94" w:rsidRPr="006A608C" w:rsidRDefault="00322B94" w:rsidP="00A426D6">
      <w:pPr>
        <w:spacing w:line="360" w:lineRule="auto"/>
        <w:ind w:firstLine="709"/>
        <w:jc w:val="both"/>
      </w:pPr>
      <w:r w:rsidRPr="006A608C">
        <w:t>Значительное замедление роста экспорта товаров и ускорение роста импорта было основной причиной сокращения положительного сальдо счета текущих операций в I квартале 2007 года более чем на четверть — до 21,8 млрд долларов США (в январе—марте 2006 года оно составило 30,5 млрд долларов США).</w:t>
      </w:r>
    </w:p>
    <w:p w:rsidR="00654BEB" w:rsidRPr="006A608C" w:rsidRDefault="00322B94" w:rsidP="00A426D6">
      <w:pPr>
        <w:spacing w:line="360" w:lineRule="auto"/>
        <w:ind w:firstLine="709"/>
        <w:jc w:val="both"/>
      </w:pPr>
      <w:r w:rsidRPr="006A608C">
        <w:t xml:space="preserve">Экспорт товаров, по оценке, составил 69,9 млрд долларов США, что на 3,8% больше, чем в I квартале 2006 года (67,4 млрд долларов США). Падение цен на мировом рынке нефти в I квартале 2007 года обусловило снижение по сравнению с аналогичным периодом 2006 года контрактных экспортных цен на российскую нефть и продукты ее переработки. Стоимость поставляемой за рубеж нефти уменьшилась на 0,8 млрд долларов США, природного газа— на 0,9 млрд долларов США. Стоимость экспорта прочих товаров, прежде всего продукции черной и цветной металлургии, возросла на 4,2 млрд долларов США. В январе—марте 2007 года рост экспорта был обусловлен </w:t>
      </w:r>
      <w:r w:rsidRPr="006A608C">
        <w:lastRenderedPageBreak/>
        <w:t>увеличением физических объемов вывоза (на 2.-1%), а также повышением контрактных цен (на 1,7%).</w:t>
      </w:r>
    </w:p>
    <w:p w:rsidR="00322B94" w:rsidRPr="006A608C" w:rsidRDefault="00322B94" w:rsidP="00A426D6">
      <w:pPr>
        <w:spacing w:line="360" w:lineRule="auto"/>
        <w:ind w:firstLine="709"/>
        <w:jc w:val="both"/>
      </w:pPr>
      <w:r w:rsidRPr="006A608C">
        <w:t>Импорт товаров, по оценке, возрос с 31,0 млрд долларов США в январе—марте 2006 года до 42,1 млрд долларов США в I квартале 2007 года. Увеличение импорта в основном было связано с ростом физических объемов ввоза на 26,4%, а также с повышением контрактных цен на 7,4%. Темп прироста импорта по сравнению с I кварталом 2006 года увеличился до 35,8% (в январе—марте 2006 года он составил 20,6%). Динамика импорта в значительной мере определялась наращиванием ввоза машин, оборудования и транспортных средств.</w:t>
      </w:r>
    </w:p>
    <w:p w:rsidR="00322B94" w:rsidRPr="006A608C" w:rsidRDefault="00322B94" w:rsidP="00A426D6">
      <w:pPr>
        <w:spacing w:line="360" w:lineRule="auto"/>
        <w:ind w:firstLine="709"/>
        <w:jc w:val="both"/>
      </w:pPr>
      <w:r w:rsidRPr="006A608C">
        <w:t>Дефицит баланса услуг оценивается в 2,7 млрд долларов США (в январе—марте 2006 года он составил 2,6 млрд долларов США). Экспорт услуг увеличился на 15,1% — до 6,7 млрд долларов США. Импорт услуг возрос на 11,2% — до 9,3 млрд долларов США.</w:t>
      </w:r>
    </w:p>
    <w:p w:rsidR="00322B94" w:rsidRPr="006A608C" w:rsidRDefault="00322B94" w:rsidP="00A426D6">
      <w:pPr>
        <w:spacing w:line="360" w:lineRule="auto"/>
        <w:ind w:firstLine="709"/>
        <w:jc w:val="both"/>
      </w:pPr>
      <w:r w:rsidRPr="006A608C">
        <w:t>Отрицательное сальдо баланса инвестиционных доходов, как и в январе—марте 2006 года, составило 2,6 млрд долларов США. Доходы, начисленные к получению, оцениваются в 10 млрд долларов США, к выплате— в 12,6 млрд долларов США. Объем доходов, полученных органами государственного управления и органами</w:t>
      </w:r>
      <w:r w:rsidR="006A608C">
        <w:t xml:space="preserve"> </w:t>
      </w:r>
      <w:r w:rsidRPr="006A608C">
        <w:t>денежно-кредитного регулирования, превысил соответствующие выплаты на 3,5 млрд долларов США (в I квартале 2006 года — на 1,2 млрд долларов США). Их рост был связан с существенным сокращением внешнего государственного долга и увеличением объема резервных активов. Дефицит баланса инвестиционных доходов частного сектора оценивается в 6,0 млрд долларов США (в январе—марте 2006 года он равнялся 3,8 млрд долларов США).</w:t>
      </w:r>
    </w:p>
    <w:p w:rsidR="00322B94" w:rsidRPr="006A608C" w:rsidRDefault="00322B94" w:rsidP="00A426D6">
      <w:pPr>
        <w:spacing w:line="360" w:lineRule="auto"/>
        <w:ind w:firstLine="709"/>
        <w:jc w:val="both"/>
      </w:pPr>
      <w:r w:rsidRPr="006A608C">
        <w:t xml:space="preserve">Внешние обязательства экономики увеличились на 42,5 млрд долларов США. Определяющим фактором их роста было активное привлечение иностранного капитала частным сектором, прирост внешних финансовых обязательств которого по сравнению с I кварталом 2006 года возрос в 2,3 раза и составил 43,8 млрд долларов США. Обязательства органов </w:t>
      </w:r>
      <w:r w:rsidRPr="006A608C">
        <w:lastRenderedPageBreak/>
        <w:t>государственного управления и органов денежно-кредитного регулирования сократились на 1,3 млрд долларов США.</w:t>
      </w:r>
    </w:p>
    <w:p w:rsidR="00322B94" w:rsidRPr="006A608C" w:rsidRDefault="00322B94" w:rsidP="00A426D6">
      <w:pPr>
        <w:spacing w:line="360" w:lineRule="auto"/>
        <w:ind w:firstLine="709"/>
        <w:jc w:val="both"/>
      </w:pPr>
      <w:r w:rsidRPr="006A608C">
        <w:t>Прирост иностранных активов резидентов (без учета валютных резервов) оценивается в 31,1 млрд долларов США. Требования к нерезидентам со стороны банков возросли на 19,2 млрд долларов США, внешние активы прочих секторов экономики увеличились на 11,3 млрд долларов США.</w:t>
      </w:r>
    </w:p>
    <w:p w:rsidR="00872544" w:rsidRPr="006A608C" w:rsidRDefault="00872544" w:rsidP="00A426D6">
      <w:pPr>
        <w:spacing w:line="360" w:lineRule="auto"/>
        <w:ind w:firstLine="709"/>
        <w:jc w:val="both"/>
      </w:pPr>
      <w:r w:rsidRPr="006A608C">
        <w:t>В 2007 году в условиях прогнозируемого снижения цен на нефть до 55 долларов США за баррель положительное сальдо баланса торговли товарами и услугами может составить 77,2 млрд долларов США. Экспорт товаров оценивается в 313,1 млрд долларов США. В его структуре совокупная доля нефти, нефтепродуктов и природного газа по сравнению с 2006 годом может снизиться. В 2006 году она составила 62,8%, в 2007 году прогнозируется на уровне 59,2%. Удельный вес продукции черной и цветной металлургии может вырасти — с 13,8% в 2006 году до 16,0% в 2007 году. Вместе с тем экспорт металлов остается существенно менее значимым по сравнению с экспортом основных топливно-энергетических товаров.</w:t>
      </w:r>
    </w:p>
    <w:p w:rsidR="00315F46" w:rsidRPr="006A608C" w:rsidRDefault="00872544" w:rsidP="00A426D6">
      <w:pPr>
        <w:spacing w:line="360" w:lineRule="auto"/>
        <w:ind w:firstLine="709"/>
        <w:jc w:val="both"/>
      </w:pPr>
      <w:r w:rsidRPr="006A608C">
        <w:t>В 2007 году активное сальдо счета текущих операции может составить 50,7 млрд долларов США. Чистый приток частного капитала может составить 70,0 млрд долларов США, что связано с ожидаемым увеличением объема публичного размещения акций российскими компаниями. Рост валютных резервов по сравнению с 2006 годом может ускориться: прогнозируется их увеличение на 114,9 млрд долларов США (в 2006 году они возросли на 107,5 млрд долларов США).</w:t>
      </w:r>
    </w:p>
    <w:p w:rsidR="00527BA0" w:rsidRPr="006A608C" w:rsidRDefault="00315F46" w:rsidP="00A426D6">
      <w:pPr>
        <w:spacing w:line="360" w:lineRule="auto"/>
        <w:ind w:firstLine="709"/>
        <w:jc w:val="both"/>
      </w:pPr>
      <w:r w:rsidRPr="006A608C">
        <w:t>В 2007 году курсовая политика Банка России, как и прежде, направлена на сдерживание инфляции при недопущении чрезмерного укрепления рубля и предотвращении резких колебаний курса национальной валюты. При значительном влиянии внешнеэкономических условий на состояние внутреннего финансового рынка Банк России продолжает использовать режим управляемого плавающего валютного курса.</w:t>
      </w:r>
      <w:r w:rsidR="00527BA0" w:rsidRPr="006A608C">
        <w:t xml:space="preserve"> Такая политика </w:t>
      </w:r>
      <w:r w:rsidR="00527BA0" w:rsidRPr="006A608C">
        <w:lastRenderedPageBreak/>
        <w:t xml:space="preserve">направлена на достижение оптимального валютного курса с помощью валютной интервенции, проведения учетной политики и других методов регулирования краткосрочных процентных ставок. </w:t>
      </w:r>
    </w:p>
    <w:p w:rsidR="00527BA0" w:rsidRPr="006A608C" w:rsidRDefault="00527BA0" w:rsidP="00A426D6">
      <w:pPr>
        <w:spacing w:line="360" w:lineRule="auto"/>
        <w:ind w:firstLine="709"/>
        <w:jc w:val="both"/>
      </w:pPr>
      <w:r w:rsidRPr="006A608C">
        <w:t>Под валютной интервенцией понимается политика купли-продажи центральным банком иностранной валюты на национальную на валютном рынке. Одним из основных принципов определения стратегии центральных банков служит ориентация на регулирование темпа роста денежной массы в национальной экономики или регулирование валютного курса национальной денежной единицы по отношению к какой-либо стабильной</w:t>
      </w:r>
      <w:r w:rsidR="006A608C">
        <w:t xml:space="preserve"> </w:t>
      </w:r>
      <w:r w:rsidRPr="006A608C">
        <w:t>иностранной валюте т.е. на внутренние или внешние показатели (рис 3).</w:t>
      </w:r>
    </w:p>
    <w:p w:rsidR="006A608C" w:rsidRPr="006A608C" w:rsidRDefault="006A608C" w:rsidP="00A426D6">
      <w:pPr>
        <w:spacing w:line="360" w:lineRule="auto"/>
        <w:ind w:firstLine="709"/>
        <w:jc w:val="both"/>
      </w:pPr>
    </w:p>
    <w:p w:rsidR="00527BA0" w:rsidRPr="006A608C" w:rsidRDefault="00527BA0" w:rsidP="00A426D6">
      <w:pPr>
        <w:spacing w:line="360" w:lineRule="auto"/>
        <w:ind w:firstLine="709"/>
        <w:jc w:val="both"/>
      </w:pPr>
      <w:r w:rsidRPr="006A608C">
        <w:t>Рис.3</w:t>
      </w:r>
    </w:p>
    <w:p w:rsidR="00527BA0" w:rsidRPr="006A608C" w:rsidRDefault="00527BA0" w:rsidP="00A426D6">
      <w:pPr>
        <w:spacing w:line="360" w:lineRule="auto"/>
        <w:ind w:firstLine="709"/>
        <w:jc w:val="both"/>
      </w:pPr>
      <w:r w:rsidRPr="006A608C">
        <w:t>Принцип валютной интервенции</w:t>
      </w:r>
    </w:p>
    <w:p w:rsidR="00527BA0" w:rsidRPr="006A608C" w:rsidRDefault="000B4448" w:rsidP="00A426D6">
      <w:pPr>
        <w:spacing w:line="360" w:lineRule="auto"/>
        <w:ind w:firstLine="709"/>
        <w:jc w:val="both"/>
      </w:pPr>
      <w:r>
        <w:rPr>
          <w:noProof/>
        </w:rPr>
        <w:pict>
          <v:group id="_x0000_s1026" style="position:absolute;left:0;text-align:left;margin-left:30.3pt;margin-top:2.9pt;width:316.8pt;height:115.2pt;z-index:251657728" coordorigin="2880,3744" coordsize="6336,2304">
            <v:rect id="_x0000_s1027" style="position:absolute;left:6624;top:3744;width:2448;height:864">
              <v:textbox style="mso-next-textbox:#_x0000_s1027">
                <w:txbxContent>
                  <w:p w:rsidR="003E6062" w:rsidRDefault="003E6062" w:rsidP="00527BA0">
                    <w:pPr>
                      <w:rPr>
                        <w:sz w:val="20"/>
                      </w:rPr>
                    </w:pPr>
                    <w:r>
                      <w:rPr>
                        <w:sz w:val="20"/>
                      </w:rPr>
                      <w:t>Регулирование темпов роста  денежной массы</w:t>
                    </w:r>
                  </w:p>
                </w:txbxContent>
              </v:textbox>
            </v:rect>
            <v:rect id="_x0000_s1028" style="position:absolute;left:6624;top:5184;width:2592;height:864">
              <v:textbox style="mso-next-textbox:#_x0000_s1028">
                <w:txbxContent>
                  <w:p w:rsidR="003E6062" w:rsidRDefault="003E6062" w:rsidP="00527BA0">
                    <w:pPr>
                      <w:rPr>
                        <w:sz w:val="20"/>
                      </w:rPr>
                    </w:pPr>
                    <w:r>
                      <w:rPr>
                        <w:sz w:val="20"/>
                      </w:rPr>
                      <w:t>Регулирование валютного курса национальной денежной единицы</w:t>
                    </w:r>
                  </w:p>
                </w:txbxContent>
              </v:textbox>
            </v:rect>
            <v:rect id="_x0000_s1029" style="position:absolute;left:2880;top:3744;width:2448;height:864">
              <v:textbox style="mso-next-textbox:#_x0000_s1029">
                <w:txbxContent>
                  <w:p w:rsidR="003E6062" w:rsidRDefault="003E6062" w:rsidP="00527BA0">
                    <w:pPr>
                      <w:rPr>
                        <w:sz w:val="20"/>
                      </w:rPr>
                    </w:pPr>
                    <w:r>
                      <w:rPr>
                        <w:sz w:val="20"/>
                      </w:rPr>
                      <w:t>Ориентир на внутренние показатели</w:t>
                    </w:r>
                  </w:p>
                </w:txbxContent>
              </v:textbox>
            </v:rect>
            <v:rect id="_x0000_s1030" style="position:absolute;left:2880;top:5184;width:2448;height:864">
              <v:textbox style="mso-next-textbox:#_x0000_s1030">
                <w:txbxContent>
                  <w:p w:rsidR="003E6062" w:rsidRDefault="003E6062" w:rsidP="00527BA0">
                    <w:pPr>
                      <w:rPr>
                        <w:sz w:val="20"/>
                      </w:rPr>
                    </w:pPr>
                    <w:r>
                      <w:rPr>
                        <w:sz w:val="20"/>
                      </w:rPr>
                      <w:t>Ориентир на  внешние показатели</w:t>
                    </w:r>
                  </w:p>
                </w:txbxContent>
              </v:textbox>
            </v:rect>
            <v:line id="_x0000_s1031" style="position:absolute" from="4032,4608" to="4032,5184">
              <v:stroke startarrow="open" endarrow="open"/>
            </v:line>
            <v:line id="_x0000_s1032" style="position:absolute" from="7776,4608" to="7776,5184">
              <v:stroke startarrow="open" endarrow="open"/>
            </v:line>
            <v:line id="_x0000_s1033" style="position:absolute" from="5328,4176" to="6624,4176">
              <v:stroke endarrow="open"/>
            </v:line>
            <v:line id="_x0000_s1034" style="position:absolute" from="5328,5616" to="6624,5616">
              <v:stroke endarrow="open"/>
            </v:line>
          </v:group>
        </w:pict>
      </w:r>
    </w:p>
    <w:p w:rsidR="00527BA0" w:rsidRPr="006A608C" w:rsidRDefault="006A608C" w:rsidP="00A426D6">
      <w:pPr>
        <w:spacing w:line="360" w:lineRule="auto"/>
        <w:ind w:firstLine="709"/>
        <w:jc w:val="both"/>
      </w:pPr>
      <w:r>
        <w:t xml:space="preserve"> </w:t>
      </w:r>
    </w:p>
    <w:p w:rsidR="00527BA0" w:rsidRPr="006A608C" w:rsidRDefault="00527BA0" w:rsidP="00A426D6">
      <w:pPr>
        <w:spacing w:line="360" w:lineRule="auto"/>
        <w:ind w:firstLine="709"/>
        <w:jc w:val="both"/>
      </w:pPr>
    </w:p>
    <w:p w:rsidR="00527BA0" w:rsidRPr="006A608C" w:rsidRDefault="00527BA0" w:rsidP="00A426D6">
      <w:pPr>
        <w:spacing w:line="360" w:lineRule="auto"/>
        <w:ind w:firstLine="709"/>
        <w:jc w:val="both"/>
      </w:pPr>
    </w:p>
    <w:p w:rsidR="00527BA0" w:rsidRPr="006A608C" w:rsidRDefault="00527BA0" w:rsidP="00A426D6">
      <w:pPr>
        <w:spacing w:line="360" w:lineRule="auto"/>
        <w:ind w:firstLine="709"/>
        <w:jc w:val="both"/>
      </w:pPr>
    </w:p>
    <w:p w:rsidR="00527BA0" w:rsidRPr="006A608C" w:rsidRDefault="00527BA0" w:rsidP="00A426D6">
      <w:pPr>
        <w:spacing w:line="360" w:lineRule="auto"/>
        <w:ind w:firstLine="709"/>
        <w:jc w:val="both"/>
      </w:pPr>
    </w:p>
    <w:p w:rsidR="00315F46" w:rsidRPr="006A608C" w:rsidRDefault="00315F46" w:rsidP="00A426D6">
      <w:pPr>
        <w:spacing w:line="360" w:lineRule="auto"/>
        <w:ind w:firstLine="709"/>
        <w:jc w:val="both"/>
      </w:pPr>
      <w:r w:rsidRPr="006A608C">
        <w:t>Высокие цены на энергоносители и ослабление доллара США на мировом валютном рынке способствовали притоку значительных объемов валютной выручки, что создавало предпосылки для превышения предложения иностранной валюты над спросом на внутреннем валютном рынке. Дополнительным фактором роста предложения иностранной валюты на внутреннем рынке стал высокий объем чистого притока частного капитала, связанный с активным привлечением российскими компаниями финансовых ресурсов на международных рынках.</w:t>
      </w:r>
    </w:p>
    <w:p w:rsidR="00315F46" w:rsidRPr="006A608C" w:rsidRDefault="00315F46" w:rsidP="00A426D6">
      <w:pPr>
        <w:spacing w:line="360" w:lineRule="auto"/>
        <w:ind w:firstLine="709"/>
        <w:jc w:val="both"/>
      </w:pPr>
      <w:r w:rsidRPr="006A608C">
        <w:t xml:space="preserve">Объем нетто-покупки Банком России иностранной валюты на внутреннем валютном рынке в январе—мае 2007 года составил 93,1 млрд долларов США, что почти на 77,1% больше, чем в аналогичный период </w:t>
      </w:r>
      <w:r w:rsidRPr="006A608C">
        <w:lastRenderedPageBreak/>
        <w:t>предыдущего года. Основное влияние на процессы курсообразования на внутреннем валютном рынке оказывали проводимые Банком России интервенции в сегменте «рубль/доллар США».</w:t>
      </w:r>
    </w:p>
    <w:p w:rsidR="00315F46" w:rsidRPr="006A608C" w:rsidRDefault="00315F46" w:rsidP="00A426D6">
      <w:pPr>
        <w:spacing w:line="360" w:lineRule="auto"/>
        <w:ind w:firstLine="709"/>
        <w:jc w:val="both"/>
      </w:pPr>
      <w:r w:rsidRPr="006A608C">
        <w:t>В феврале 2007 года Банк России пересмотрел состав бивалютной корзины, состоящей из доллара США и евро, рублевая стоимость которой используется в качестве операционного ориентира курсовой политики. Состав корзины был изменен в сторону увеличения веса евро: 0,55 доллара США и 0,45 евро по сравнению с прежним составом (0,6 доллара США и 0,4 евро). Пересмотр состава бивалютной корзины был направлен на сближение операционного ориентира курсовой политики со среднесрочным — номинальным эффективным курсом рубля.</w:t>
      </w:r>
    </w:p>
    <w:p w:rsidR="00527BA0" w:rsidRPr="006A608C" w:rsidRDefault="00315F46" w:rsidP="00A426D6">
      <w:pPr>
        <w:spacing w:line="360" w:lineRule="auto"/>
        <w:ind w:firstLine="709"/>
        <w:jc w:val="both"/>
      </w:pPr>
      <w:r w:rsidRPr="006A608C">
        <w:t>За январь—май 2007 года прирост реального эффективного курса рубля по предварительным оценкам составил 2,3%, при этом реальные курсы рубля к доллару США и евро выросл</w:t>
      </w:r>
      <w:r w:rsidR="00527BA0" w:rsidRPr="006A608C">
        <w:t>и на 3</w:t>
      </w:r>
      <w:r w:rsidR="00D4251F" w:rsidRPr="006A608C">
        <w:t>,4 и 2,4% соответственно.</w:t>
      </w:r>
      <w:r w:rsidR="00527BA0" w:rsidRPr="006A608C">
        <w:t xml:space="preserve"> </w:t>
      </w:r>
    </w:p>
    <w:p w:rsidR="00FC19E4" w:rsidRPr="006A608C" w:rsidRDefault="00315F46" w:rsidP="00A426D6">
      <w:pPr>
        <w:spacing w:line="360" w:lineRule="auto"/>
        <w:ind w:firstLine="709"/>
        <w:jc w:val="both"/>
      </w:pPr>
      <w:r w:rsidRPr="006A608C">
        <w:t>Номинальный курс доллара США к рублю по состоянию на 1 июня 2007 года составил 25,90 руб./дол. США, снизившись на 1,6% по сравнению с 1 января 2007 года, номинальный курс евро к рублю повысился на 0,3%, составив на 1 июня 34,81 руб./евро. Эти изменения стали результатом действия внутренних и внешних факторов, в том числе колебаний ку</w:t>
      </w:r>
      <w:r w:rsidR="00D66E95" w:rsidRPr="006A608C">
        <w:t xml:space="preserve">рсов на мировом валютном рынке. </w:t>
      </w:r>
      <w:r w:rsidR="00FC19E4" w:rsidRPr="006A608C">
        <w:t>В целом реализация курсовой политики Банка России в январе—мае 2007 года позволила уменьшить амплитуду колебаний эффективного курса рубля и снизить темпы его укрепления.</w:t>
      </w:r>
    </w:p>
    <w:p w:rsidR="00D4251F" w:rsidRPr="006A608C" w:rsidRDefault="00FC19E4" w:rsidP="00A426D6">
      <w:pPr>
        <w:spacing w:line="360" w:lineRule="auto"/>
        <w:ind w:firstLine="709"/>
        <w:jc w:val="both"/>
      </w:pPr>
      <w:r w:rsidRPr="006A608C">
        <w:t>В 2007 году укрепление реального эффективного курса рубля может составить 4—</w:t>
      </w:r>
      <w:r w:rsidR="00D66E95" w:rsidRPr="006A608C">
        <w:t>5% из расчета декабрь к декабрю.</w:t>
      </w:r>
    </w:p>
    <w:p w:rsidR="006520CD" w:rsidRPr="006A608C" w:rsidRDefault="006520CD" w:rsidP="00A426D6">
      <w:pPr>
        <w:spacing w:line="360" w:lineRule="auto"/>
        <w:ind w:firstLine="709"/>
        <w:jc w:val="both"/>
      </w:pPr>
    </w:p>
    <w:p w:rsidR="00994A98" w:rsidRPr="006A608C" w:rsidRDefault="00994A98" w:rsidP="00A426D6">
      <w:pPr>
        <w:spacing w:line="360" w:lineRule="auto"/>
        <w:ind w:firstLine="709"/>
        <w:jc w:val="center"/>
        <w:rPr>
          <w:b/>
        </w:rPr>
      </w:pPr>
      <w:r w:rsidRPr="006A608C">
        <w:rPr>
          <w:b/>
        </w:rPr>
        <w:t>Реализация денежно-кредитной политики</w:t>
      </w:r>
    </w:p>
    <w:p w:rsidR="00994A98" w:rsidRPr="006A608C" w:rsidRDefault="00994A98" w:rsidP="00A426D6">
      <w:pPr>
        <w:spacing w:line="360" w:lineRule="auto"/>
        <w:ind w:firstLine="709"/>
        <w:jc w:val="both"/>
      </w:pPr>
    </w:p>
    <w:p w:rsidR="00994A98" w:rsidRPr="006A608C" w:rsidRDefault="00994A98" w:rsidP="00A426D6">
      <w:pPr>
        <w:spacing w:line="360" w:lineRule="auto"/>
        <w:ind w:firstLine="709"/>
        <w:jc w:val="both"/>
      </w:pPr>
      <w:r w:rsidRPr="006A608C">
        <w:t>В «Основных направлениях единой государственной денежно-кредитной политики на 2007 год» в соответствии с прогнозом социально-экономического развития Российской Федерации предусматривался рост потребительских цен в диапазоне 6,5—8%. Поставленной цели по общему уровню инфляции соответствовала базовая инфляция 5,5—7%. В зависимости от вариантов прогноза социально-экономического развития Российской Федерации темпы прироста BBII в 2007 году предусматривались в интервале 5—6,6%. Такое сочетание макроэкономических параметров при сохраняющемся режиме управляемого плавающего валютного курса предполагало рост спроса на деньги (по агрегату М2) в интервале 19—29%.</w:t>
      </w:r>
    </w:p>
    <w:p w:rsidR="00994A98" w:rsidRPr="006A608C" w:rsidRDefault="00994A98" w:rsidP="00A426D6">
      <w:pPr>
        <w:spacing w:line="360" w:lineRule="auto"/>
        <w:ind w:firstLine="709"/>
        <w:jc w:val="both"/>
      </w:pPr>
      <w:r w:rsidRPr="006A608C">
        <w:t>Фактически при складывающихся ценах на нефть сорта «Юралс» около 58 долларов США за баррель (в среднем за январь—май 2007 года) темпы роста российской экономики</w:t>
      </w:r>
      <w:r w:rsidR="006A608C">
        <w:t xml:space="preserve"> </w:t>
      </w:r>
      <w:r w:rsidRPr="006A608C">
        <w:t>близки к четвертому варианту прогноза социально-экономического развития Российской Федерации, рассматриваемому в «Основных направлениях единой государственной денежно-кредитной политики на 2007 год». Высокие темпы экономического роста, внутреннего спроса и продолжающаяся дедолларизация экономики способствуют сохранению высоки</w:t>
      </w:r>
      <w:r w:rsidR="00E01C6B" w:rsidRPr="006A608C">
        <w:t>х темпов роста спроса на деньги (Таблица 2.2.2)</w:t>
      </w:r>
    </w:p>
    <w:p w:rsidR="006520CD" w:rsidRPr="006A608C" w:rsidRDefault="006520CD" w:rsidP="00A426D6">
      <w:pPr>
        <w:spacing w:line="360" w:lineRule="auto"/>
        <w:ind w:firstLine="709"/>
        <w:jc w:val="both"/>
      </w:pPr>
    </w:p>
    <w:p w:rsidR="00E01C6B" w:rsidRPr="006A608C" w:rsidRDefault="00E01C6B" w:rsidP="00A426D6">
      <w:pPr>
        <w:spacing w:line="360" w:lineRule="auto"/>
        <w:ind w:firstLine="709"/>
        <w:jc w:val="both"/>
      </w:pPr>
      <w:r w:rsidRPr="006A608C">
        <w:t>Табл.2.2.2</w:t>
      </w:r>
    </w:p>
    <w:p w:rsidR="00E01C6B" w:rsidRPr="006A608C" w:rsidRDefault="00E01C6B" w:rsidP="00A426D6">
      <w:pPr>
        <w:pStyle w:val="a5"/>
        <w:ind w:firstLine="709"/>
        <w:rPr>
          <w:b w:val="0"/>
          <w:iCs/>
          <w:sz w:val="28"/>
          <w:szCs w:val="28"/>
        </w:rPr>
      </w:pPr>
      <w:r w:rsidRPr="006A608C">
        <w:rPr>
          <w:b w:val="0"/>
          <w:iCs/>
          <w:sz w:val="28"/>
          <w:szCs w:val="28"/>
        </w:rPr>
        <w:t>Основные макроэкономические показатели</w:t>
      </w:r>
    </w:p>
    <w:tbl>
      <w:tblPr>
        <w:tblW w:w="9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434"/>
        <w:gridCol w:w="2880"/>
      </w:tblGrid>
      <w:tr w:rsidR="00E01C6B" w:rsidRPr="006A608C" w:rsidTr="006A608C">
        <w:trPr>
          <w:jc w:val="center"/>
        </w:trPr>
        <w:tc>
          <w:tcPr>
            <w:tcW w:w="6434" w:type="dxa"/>
          </w:tcPr>
          <w:p w:rsidR="00E01C6B" w:rsidRPr="006A608C" w:rsidRDefault="006A608C" w:rsidP="00A426D6">
            <w:pPr>
              <w:spacing w:line="360" w:lineRule="auto"/>
              <w:rPr>
                <w:sz w:val="20"/>
                <w:szCs w:val="20"/>
              </w:rPr>
            </w:pPr>
            <w:r>
              <w:rPr>
                <w:sz w:val="20"/>
                <w:szCs w:val="20"/>
              </w:rPr>
              <w:t xml:space="preserve"> </w:t>
            </w:r>
          </w:p>
        </w:tc>
        <w:tc>
          <w:tcPr>
            <w:tcW w:w="2880" w:type="dxa"/>
          </w:tcPr>
          <w:p w:rsidR="00E01C6B" w:rsidRPr="006A608C" w:rsidRDefault="00E01C6B" w:rsidP="00A426D6">
            <w:pPr>
              <w:spacing w:line="360" w:lineRule="auto"/>
              <w:rPr>
                <w:sz w:val="20"/>
                <w:szCs w:val="20"/>
              </w:rPr>
            </w:pPr>
            <w:r w:rsidRPr="006A608C">
              <w:rPr>
                <w:sz w:val="20"/>
                <w:szCs w:val="20"/>
              </w:rPr>
              <w:t>2007 г.</w:t>
            </w:r>
            <w:r w:rsidRPr="006A608C">
              <w:rPr>
                <w:sz w:val="20"/>
                <w:szCs w:val="20"/>
              </w:rPr>
              <w:br/>
              <w:t xml:space="preserve">(официальный прогноз) </w:t>
            </w:r>
          </w:p>
        </w:tc>
      </w:tr>
      <w:tr w:rsidR="00E01C6B" w:rsidRPr="006A608C" w:rsidTr="006A608C">
        <w:trPr>
          <w:jc w:val="center"/>
        </w:trPr>
        <w:tc>
          <w:tcPr>
            <w:tcW w:w="6434" w:type="dxa"/>
          </w:tcPr>
          <w:p w:rsidR="00E01C6B" w:rsidRPr="006A608C" w:rsidRDefault="00E01C6B" w:rsidP="00A426D6">
            <w:pPr>
              <w:spacing w:line="360" w:lineRule="auto"/>
              <w:rPr>
                <w:sz w:val="20"/>
                <w:szCs w:val="20"/>
              </w:rPr>
            </w:pPr>
            <w:r w:rsidRPr="006A608C">
              <w:rPr>
                <w:sz w:val="20"/>
                <w:szCs w:val="20"/>
              </w:rPr>
              <w:t xml:space="preserve">Валовой внутренний продукт, млрд. руб. </w:t>
            </w:r>
          </w:p>
        </w:tc>
        <w:tc>
          <w:tcPr>
            <w:tcW w:w="2880" w:type="dxa"/>
          </w:tcPr>
          <w:p w:rsidR="00E01C6B" w:rsidRPr="006A608C" w:rsidRDefault="00E01C6B" w:rsidP="00A426D6">
            <w:pPr>
              <w:spacing w:line="360" w:lineRule="auto"/>
              <w:rPr>
                <w:sz w:val="20"/>
                <w:szCs w:val="20"/>
              </w:rPr>
            </w:pPr>
            <w:r w:rsidRPr="006A608C">
              <w:rPr>
                <w:sz w:val="20"/>
                <w:szCs w:val="20"/>
              </w:rPr>
              <w:t xml:space="preserve">5350 </w:t>
            </w:r>
          </w:p>
        </w:tc>
      </w:tr>
      <w:tr w:rsidR="00E01C6B" w:rsidRPr="006A608C" w:rsidTr="006A608C">
        <w:trPr>
          <w:jc w:val="center"/>
        </w:trPr>
        <w:tc>
          <w:tcPr>
            <w:tcW w:w="6434" w:type="dxa"/>
          </w:tcPr>
          <w:p w:rsidR="00E01C6B" w:rsidRPr="006A608C" w:rsidRDefault="00E01C6B" w:rsidP="00A426D6">
            <w:pPr>
              <w:spacing w:line="360" w:lineRule="auto"/>
              <w:rPr>
                <w:sz w:val="20"/>
                <w:szCs w:val="20"/>
              </w:rPr>
            </w:pPr>
            <w:r w:rsidRPr="006A608C">
              <w:rPr>
                <w:sz w:val="20"/>
                <w:szCs w:val="20"/>
              </w:rPr>
              <w:t xml:space="preserve">в % к предыдущему году </w:t>
            </w:r>
          </w:p>
        </w:tc>
        <w:tc>
          <w:tcPr>
            <w:tcW w:w="2880" w:type="dxa"/>
          </w:tcPr>
          <w:p w:rsidR="00E01C6B" w:rsidRPr="006A608C" w:rsidRDefault="00E01C6B" w:rsidP="00A426D6">
            <w:pPr>
              <w:spacing w:line="360" w:lineRule="auto"/>
              <w:rPr>
                <w:sz w:val="20"/>
                <w:szCs w:val="20"/>
              </w:rPr>
            </w:pPr>
            <w:r w:rsidRPr="006A608C">
              <w:rPr>
                <w:sz w:val="20"/>
                <w:szCs w:val="20"/>
              </w:rPr>
              <w:t xml:space="preserve">101,5 </w:t>
            </w:r>
          </w:p>
        </w:tc>
      </w:tr>
      <w:tr w:rsidR="00E01C6B" w:rsidRPr="006A608C" w:rsidTr="006A608C">
        <w:trPr>
          <w:jc w:val="center"/>
        </w:trPr>
        <w:tc>
          <w:tcPr>
            <w:tcW w:w="6434" w:type="dxa"/>
          </w:tcPr>
          <w:p w:rsidR="00E01C6B" w:rsidRPr="006A608C" w:rsidRDefault="00E01C6B" w:rsidP="00A426D6">
            <w:pPr>
              <w:spacing w:line="360" w:lineRule="auto"/>
              <w:rPr>
                <w:sz w:val="20"/>
                <w:szCs w:val="20"/>
              </w:rPr>
            </w:pPr>
            <w:r w:rsidRPr="006A608C">
              <w:rPr>
                <w:sz w:val="20"/>
                <w:szCs w:val="20"/>
              </w:rPr>
              <w:t>Объем промышленной продукции,</w:t>
            </w:r>
            <w:r w:rsidRPr="006A608C">
              <w:rPr>
                <w:sz w:val="20"/>
                <w:szCs w:val="20"/>
              </w:rPr>
              <w:br/>
              <w:t xml:space="preserve">в % к предыдущему году </w:t>
            </w:r>
          </w:p>
        </w:tc>
        <w:tc>
          <w:tcPr>
            <w:tcW w:w="2880" w:type="dxa"/>
          </w:tcPr>
          <w:p w:rsidR="00E01C6B" w:rsidRPr="006A608C" w:rsidRDefault="00E01C6B" w:rsidP="00A426D6">
            <w:pPr>
              <w:spacing w:line="360" w:lineRule="auto"/>
              <w:rPr>
                <w:sz w:val="20"/>
                <w:szCs w:val="20"/>
              </w:rPr>
            </w:pPr>
            <w:r w:rsidRPr="006A608C">
              <w:rPr>
                <w:sz w:val="20"/>
                <w:szCs w:val="20"/>
              </w:rPr>
              <w:t xml:space="preserve">104 </w:t>
            </w:r>
          </w:p>
        </w:tc>
      </w:tr>
      <w:tr w:rsidR="00E01C6B" w:rsidRPr="006A608C" w:rsidTr="006A608C">
        <w:trPr>
          <w:jc w:val="center"/>
        </w:trPr>
        <w:tc>
          <w:tcPr>
            <w:tcW w:w="6434" w:type="dxa"/>
          </w:tcPr>
          <w:p w:rsidR="00E01C6B" w:rsidRPr="006A608C" w:rsidRDefault="00E01C6B" w:rsidP="00A426D6">
            <w:pPr>
              <w:spacing w:line="360" w:lineRule="auto"/>
              <w:rPr>
                <w:sz w:val="20"/>
                <w:szCs w:val="20"/>
              </w:rPr>
            </w:pPr>
            <w:r w:rsidRPr="006A608C">
              <w:rPr>
                <w:sz w:val="20"/>
                <w:szCs w:val="20"/>
              </w:rPr>
              <w:t>Индекс потребительских цен,</w:t>
            </w:r>
            <w:r w:rsidRPr="006A608C">
              <w:rPr>
                <w:sz w:val="20"/>
                <w:szCs w:val="20"/>
              </w:rPr>
              <w:br/>
              <w:t xml:space="preserve">декабрь в % к декабрю предыдущего года </w:t>
            </w:r>
          </w:p>
        </w:tc>
        <w:tc>
          <w:tcPr>
            <w:tcW w:w="2880" w:type="dxa"/>
          </w:tcPr>
          <w:p w:rsidR="00E01C6B" w:rsidRPr="006A608C" w:rsidRDefault="00E01C6B" w:rsidP="00A426D6">
            <w:pPr>
              <w:spacing w:line="360" w:lineRule="auto"/>
              <w:rPr>
                <w:sz w:val="20"/>
                <w:szCs w:val="20"/>
              </w:rPr>
            </w:pPr>
            <w:r w:rsidRPr="006A608C">
              <w:rPr>
                <w:sz w:val="20"/>
                <w:szCs w:val="20"/>
              </w:rPr>
              <w:t xml:space="preserve">118 </w:t>
            </w:r>
          </w:p>
        </w:tc>
      </w:tr>
      <w:tr w:rsidR="00E01C6B" w:rsidRPr="006A608C" w:rsidTr="006A608C">
        <w:trPr>
          <w:jc w:val="center"/>
        </w:trPr>
        <w:tc>
          <w:tcPr>
            <w:tcW w:w="6434" w:type="dxa"/>
          </w:tcPr>
          <w:p w:rsidR="00E01C6B" w:rsidRPr="006A608C" w:rsidRDefault="00E01C6B" w:rsidP="00A426D6">
            <w:pPr>
              <w:spacing w:line="360" w:lineRule="auto"/>
              <w:rPr>
                <w:sz w:val="20"/>
                <w:szCs w:val="20"/>
              </w:rPr>
            </w:pPr>
            <w:r w:rsidRPr="006A608C">
              <w:rPr>
                <w:sz w:val="20"/>
                <w:szCs w:val="20"/>
              </w:rPr>
              <w:t>Индекс цен предприятий-производителей промышленной продукции,</w:t>
            </w:r>
            <w:r w:rsidRPr="006A608C">
              <w:rPr>
                <w:sz w:val="20"/>
                <w:szCs w:val="20"/>
              </w:rPr>
              <w:br/>
              <w:t xml:space="preserve">декабрь в % к декабрю предыдущего года </w:t>
            </w:r>
          </w:p>
        </w:tc>
        <w:tc>
          <w:tcPr>
            <w:tcW w:w="2880" w:type="dxa"/>
          </w:tcPr>
          <w:p w:rsidR="00E01C6B" w:rsidRPr="006A608C" w:rsidRDefault="00E01C6B" w:rsidP="00A426D6">
            <w:pPr>
              <w:spacing w:line="360" w:lineRule="auto"/>
              <w:rPr>
                <w:sz w:val="20"/>
                <w:szCs w:val="20"/>
              </w:rPr>
            </w:pPr>
            <w:r w:rsidRPr="006A608C">
              <w:rPr>
                <w:sz w:val="20"/>
                <w:szCs w:val="20"/>
              </w:rPr>
              <w:t xml:space="preserve">121 </w:t>
            </w:r>
          </w:p>
        </w:tc>
      </w:tr>
      <w:tr w:rsidR="00E01C6B" w:rsidRPr="006A608C" w:rsidTr="006A608C">
        <w:trPr>
          <w:jc w:val="center"/>
        </w:trPr>
        <w:tc>
          <w:tcPr>
            <w:tcW w:w="6434" w:type="dxa"/>
          </w:tcPr>
          <w:p w:rsidR="00E01C6B" w:rsidRPr="006A608C" w:rsidRDefault="00E01C6B" w:rsidP="00A426D6">
            <w:pPr>
              <w:spacing w:line="360" w:lineRule="auto"/>
              <w:rPr>
                <w:sz w:val="20"/>
                <w:szCs w:val="20"/>
              </w:rPr>
            </w:pPr>
            <w:r w:rsidRPr="006A608C">
              <w:rPr>
                <w:sz w:val="20"/>
                <w:szCs w:val="20"/>
              </w:rPr>
              <w:t xml:space="preserve">Индекс роста денежной массы М2 за год, % </w:t>
            </w:r>
          </w:p>
        </w:tc>
        <w:tc>
          <w:tcPr>
            <w:tcW w:w="2880" w:type="dxa"/>
          </w:tcPr>
          <w:p w:rsidR="00E01C6B" w:rsidRPr="006A608C" w:rsidRDefault="00E01C6B" w:rsidP="00A426D6">
            <w:pPr>
              <w:spacing w:line="360" w:lineRule="auto"/>
              <w:rPr>
                <w:sz w:val="20"/>
                <w:szCs w:val="20"/>
              </w:rPr>
            </w:pPr>
            <w:r w:rsidRPr="006A608C">
              <w:rPr>
                <w:sz w:val="20"/>
                <w:szCs w:val="20"/>
              </w:rPr>
              <w:t xml:space="preserve">121-125 </w:t>
            </w:r>
          </w:p>
        </w:tc>
      </w:tr>
    </w:tbl>
    <w:p w:rsidR="00E01C6B" w:rsidRPr="006A608C" w:rsidRDefault="00E01C6B" w:rsidP="00A426D6">
      <w:pPr>
        <w:spacing w:line="360" w:lineRule="auto"/>
        <w:ind w:firstLine="709"/>
        <w:jc w:val="both"/>
      </w:pPr>
    </w:p>
    <w:p w:rsidR="00E01C6B" w:rsidRPr="006A608C" w:rsidRDefault="00994A98" w:rsidP="00A426D6">
      <w:pPr>
        <w:spacing w:line="360" w:lineRule="auto"/>
        <w:ind w:firstLine="709"/>
        <w:jc w:val="both"/>
      </w:pPr>
      <w:r w:rsidRPr="006A608C">
        <w:t>В январе—мае 2007 года в продолжение тенденции 2006 года темпы прироста денежного агрегата М2 в годовом выражении увеличивались и на начало июня 2007 года, по предварительным данным, составили 60% (на начало июня 2006 года — 42,8%).</w:t>
      </w:r>
      <w:r w:rsidR="00D66E95" w:rsidRPr="006A608C">
        <w:t xml:space="preserve"> </w:t>
      </w:r>
    </w:p>
    <w:p w:rsidR="00994A98" w:rsidRPr="006A608C" w:rsidRDefault="00994A98" w:rsidP="00A426D6">
      <w:pPr>
        <w:spacing w:line="360" w:lineRule="auto"/>
        <w:ind w:firstLine="709"/>
        <w:jc w:val="both"/>
      </w:pPr>
      <w:r w:rsidRPr="006A608C">
        <w:t>Ослаблению инфляционных последствий роста рублевой денежной массы в 2007 году способствует существенное и более интенсивное по сравнению с январем—маем 2006 года снижение скорости обращения денег. Под влиянием структурных изменений в составе денежной массы скорость обращения денег, рассчитанная по денежному агрегату М2 в среднегодовом выражении, снизилась к началу июня 2007 года по отношению к началу июня 2006 года, по предварительным данным, на 18,2% (в 2006 году аналогичный показатель составил 9,1%). Позитивные изменения в структуре денежного агрегата М2 проявляются в сокращении доли более ликвидного компонента — наличных денег (по предварительным данным, 27,1% на 1.06.</w:t>
      </w:r>
      <w:r w:rsidR="00213E77" w:rsidRPr="006A608C">
        <w:t>2007 против 31,3% на 1.06.2006) (Табл. 2.2.3)</w:t>
      </w:r>
    </w:p>
    <w:p w:rsidR="006520CD" w:rsidRPr="006A608C" w:rsidRDefault="006520CD" w:rsidP="00A426D6">
      <w:pPr>
        <w:spacing w:line="360" w:lineRule="auto"/>
        <w:ind w:firstLine="709"/>
        <w:jc w:val="both"/>
      </w:pPr>
    </w:p>
    <w:p w:rsidR="00213E77" w:rsidRPr="006A608C" w:rsidRDefault="00213E77" w:rsidP="00A426D6">
      <w:pPr>
        <w:spacing w:line="360" w:lineRule="auto"/>
        <w:ind w:firstLine="709"/>
        <w:jc w:val="both"/>
      </w:pPr>
      <w:r w:rsidRPr="006A608C">
        <w:t>Табл.2.2.3</w:t>
      </w:r>
    </w:p>
    <w:p w:rsidR="00213E77" w:rsidRPr="006A608C" w:rsidRDefault="00213E77" w:rsidP="00A426D6">
      <w:pPr>
        <w:spacing w:line="360" w:lineRule="auto"/>
        <w:ind w:firstLine="709"/>
        <w:jc w:val="both"/>
        <w:outlineLvl w:val="0"/>
      </w:pPr>
      <w:r w:rsidRPr="006A608C">
        <w:t>Динамика денежной массы</w:t>
      </w:r>
      <w:r w:rsidR="006A608C">
        <w:t xml:space="preserve"> </w:t>
      </w:r>
      <w:r w:rsidRPr="006A608C">
        <w:t>и ее элементов в России</w:t>
      </w:r>
    </w:p>
    <w:tbl>
      <w:tblPr>
        <w:tblW w:w="957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09"/>
        <w:gridCol w:w="851"/>
        <w:gridCol w:w="768"/>
        <w:gridCol w:w="768"/>
        <w:gridCol w:w="768"/>
        <w:gridCol w:w="768"/>
        <w:gridCol w:w="768"/>
        <w:gridCol w:w="768"/>
        <w:gridCol w:w="768"/>
        <w:gridCol w:w="768"/>
        <w:gridCol w:w="768"/>
      </w:tblGrid>
      <w:tr w:rsidR="00213E77" w:rsidRPr="006A608C" w:rsidTr="006A608C">
        <w:trPr>
          <w:trHeight w:hRule="exact" w:val="800"/>
          <w:jc w:val="center"/>
        </w:trPr>
        <w:tc>
          <w:tcPr>
            <w:tcW w:w="1809" w:type="dxa"/>
            <w:tcBorders>
              <w:top w:val="single" w:sz="6" w:space="0" w:color="auto"/>
              <w:bottom w:val="nil"/>
              <w:right w:val="single" w:sz="6" w:space="0" w:color="auto"/>
            </w:tcBorders>
          </w:tcPr>
          <w:p w:rsidR="00213E77" w:rsidRPr="006A608C" w:rsidRDefault="00213E77" w:rsidP="00A426D6">
            <w:pPr>
              <w:spacing w:line="360" w:lineRule="auto"/>
              <w:rPr>
                <w:sz w:val="20"/>
                <w:szCs w:val="20"/>
              </w:rPr>
            </w:pPr>
          </w:p>
          <w:p w:rsidR="00213E77" w:rsidRPr="006A608C" w:rsidRDefault="00213E77" w:rsidP="00A426D6">
            <w:pPr>
              <w:spacing w:line="360" w:lineRule="auto"/>
              <w:rPr>
                <w:sz w:val="20"/>
                <w:szCs w:val="20"/>
              </w:rPr>
            </w:pPr>
            <w:r w:rsidRPr="006A608C">
              <w:rPr>
                <w:sz w:val="20"/>
                <w:szCs w:val="20"/>
              </w:rPr>
              <w:t>Показатели</w:t>
            </w:r>
          </w:p>
        </w:tc>
        <w:tc>
          <w:tcPr>
            <w:tcW w:w="1619" w:type="dxa"/>
            <w:gridSpan w:val="2"/>
            <w:tcBorders>
              <w:top w:val="single" w:sz="6" w:space="0" w:color="auto"/>
              <w:left w:val="nil"/>
              <w:bottom w:val="nil"/>
            </w:tcBorders>
          </w:tcPr>
          <w:p w:rsidR="00213E77" w:rsidRPr="006A608C" w:rsidRDefault="00213E77" w:rsidP="00A426D6">
            <w:pPr>
              <w:spacing w:line="360" w:lineRule="auto"/>
              <w:rPr>
                <w:sz w:val="20"/>
                <w:szCs w:val="20"/>
              </w:rPr>
            </w:pPr>
            <w:r w:rsidRPr="006A608C">
              <w:rPr>
                <w:sz w:val="20"/>
                <w:szCs w:val="20"/>
              </w:rPr>
              <w:t>На</w:t>
            </w:r>
          </w:p>
          <w:p w:rsidR="00213E77" w:rsidRPr="006A608C" w:rsidRDefault="00213E77" w:rsidP="00A426D6">
            <w:pPr>
              <w:spacing w:line="360" w:lineRule="auto"/>
              <w:rPr>
                <w:sz w:val="20"/>
                <w:szCs w:val="20"/>
              </w:rPr>
            </w:pPr>
            <w:r w:rsidRPr="006A608C">
              <w:rPr>
                <w:sz w:val="20"/>
                <w:szCs w:val="20"/>
              </w:rPr>
              <w:t>01.01.2007</w:t>
            </w:r>
          </w:p>
        </w:tc>
        <w:tc>
          <w:tcPr>
            <w:tcW w:w="1536" w:type="dxa"/>
            <w:gridSpan w:val="2"/>
            <w:tcBorders>
              <w:top w:val="single" w:sz="6" w:space="0" w:color="auto"/>
              <w:left w:val="single" w:sz="6" w:space="0" w:color="auto"/>
              <w:bottom w:val="single" w:sz="6" w:space="0" w:color="auto"/>
              <w:right w:val="nil"/>
            </w:tcBorders>
          </w:tcPr>
          <w:p w:rsidR="00213E77" w:rsidRPr="006A608C" w:rsidRDefault="00213E77" w:rsidP="00A426D6">
            <w:pPr>
              <w:spacing w:line="360" w:lineRule="auto"/>
              <w:rPr>
                <w:sz w:val="20"/>
                <w:szCs w:val="20"/>
              </w:rPr>
            </w:pPr>
            <w:r w:rsidRPr="006A608C">
              <w:rPr>
                <w:sz w:val="20"/>
                <w:szCs w:val="20"/>
              </w:rPr>
              <w:t>на 01.04.2007</w:t>
            </w:r>
          </w:p>
          <w:p w:rsidR="00213E77" w:rsidRPr="006A608C" w:rsidRDefault="00213E77" w:rsidP="00A426D6">
            <w:pPr>
              <w:spacing w:line="360" w:lineRule="auto"/>
              <w:rPr>
                <w:sz w:val="20"/>
                <w:szCs w:val="20"/>
              </w:rPr>
            </w:pPr>
          </w:p>
        </w:tc>
        <w:tc>
          <w:tcPr>
            <w:tcW w:w="1536" w:type="dxa"/>
            <w:gridSpan w:val="2"/>
            <w:tcBorders>
              <w:top w:val="single" w:sz="6" w:space="0" w:color="auto"/>
              <w:left w:val="single" w:sz="6" w:space="0" w:color="auto"/>
              <w:bottom w:val="nil"/>
            </w:tcBorders>
          </w:tcPr>
          <w:p w:rsidR="00213E77" w:rsidRPr="006A608C" w:rsidRDefault="00213E77" w:rsidP="00A426D6">
            <w:pPr>
              <w:spacing w:line="360" w:lineRule="auto"/>
              <w:rPr>
                <w:sz w:val="20"/>
                <w:szCs w:val="20"/>
              </w:rPr>
            </w:pPr>
            <w:r w:rsidRPr="006A608C">
              <w:rPr>
                <w:sz w:val="20"/>
                <w:szCs w:val="20"/>
              </w:rPr>
              <w:t>на 01.07.2007</w:t>
            </w:r>
          </w:p>
        </w:tc>
        <w:tc>
          <w:tcPr>
            <w:tcW w:w="1536" w:type="dxa"/>
            <w:gridSpan w:val="2"/>
            <w:tcBorders>
              <w:top w:val="single" w:sz="6" w:space="0" w:color="auto"/>
              <w:left w:val="single" w:sz="6" w:space="0" w:color="auto"/>
              <w:bottom w:val="single" w:sz="6" w:space="0" w:color="auto"/>
              <w:right w:val="nil"/>
            </w:tcBorders>
          </w:tcPr>
          <w:p w:rsidR="00213E77" w:rsidRPr="006A608C" w:rsidRDefault="00213E77" w:rsidP="00A426D6">
            <w:pPr>
              <w:spacing w:line="360" w:lineRule="auto"/>
              <w:rPr>
                <w:sz w:val="20"/>
                <w:szCs w:val="20"/>
              </w:rPr>
            </w:pPr>
            <w:r w:rsidRPr="006A608C">
              <w:rPr>
                <w:sz w:val="20"/>
                <w:szCs w:val="20"/>
              </w:rPr>
              <w:t>на 01.10.2007</w:t>
            </w:r>
          </w:p>
        </w:tc>
        <w:tc>
          <w:tcPr>
            <w:tcW w:w="1536" w:type="dxa"/>
            <w:gridSpan w:val="2"/>
            <w:tcBorders>
              <w:top w:val="single" w:sz="6" w:space="0" w:color="auto"/>
              <w:left w:val="single" w:sz="6" w:space="0" w:color="auto"/>
              <w:bottom w:val="nil"/>
            </w:tcBorders>
          </w:tcPr>
          <w:p w:rsidR="00213E77" w:rsidRPr="006A608C" w:rsidRDefault="00213E77" w:rsidP="00A426D6">
            <w:pPr>
              <w:spacing w:line="360" w:lineRule="auto"/>
              <w:rPr>
                <w:sz w:val="20"/>
                <w:szCs w:val="20"/>
              </w:rPr>
            </w:pPr>
            <w:r w:rsidRPr="006A608C">
              <w:rPr>
                <w:sz w:val="20"/>
                <w:szCs w:val="20"/>
              </w:rPr>
              <w:t>на 01.01.2008</w:t>
            </w:r>
          </w:p>
        </w:tc>
      </w:tr>
      <w:tr w:rsidR="00213E77" w:rsidRPr="006A608C" w:rsidTr="006A608C">
        <w:trPr>
          <w:jc w:val="center"/>
        </w:trPr>
        <w:tc>
          <w:tcPr>
            <w:tcW w:w="1809" w:type="dxa"/>
            <w:tcBorders>
              <w:top w:val="nil"/>
              <w:bottom w:val="single" w:sz="6" w:space="0" w:color="auto"/>
              <w:right w:val="single" w:sz="6" w:space="0" w:color="auto"/>
            </w:tcBorders>
          </w:tcPr>
          <w:p w:rsidR="00213E77" w:rsidRPr="006A608C" w:rsidRDefault="00213E77" w:rsidP="00A426D6">
            <w:pPr>
              <w:spacing w:line="360" w:lineRule="auto"/>
              <w:rPr>
                <w:sz w:val="20"/>
                <w:szCs w:val="20"/>
              </w:rPr>
            </w:pPr>
          </w:p>
        </w:tc>
        <w:tc>
          <w:tcPr>
            <w:tcW w:w="851" w:type="dxa"/>
            <w:tcBorders>
              <w:top w:val="single" w:sz="6" w:space="0" w:color="auto"/>
              <w:left w:val="nil"/>
              <w:bottom w:val="single" w:sz="6" w:space="0" w:color="auto"/>
              <w:right w:val="single" w:sz="6" w:space="0" w:color="auto"/>
            </w:tcBorders>
          </w:tcPr>
          <w:p w:rsidR="00213E77" w:rsidRPr="006A608C" w:rsidRDefault="00213E77" w:rsidP="00A426D6">
            <w:pPr>
              <w:spacing w:line="360" w:lineRule="auto"/>
              <w:rPr>
                <w:sz w:val="20"/>
                <w:szCs w:val="20"/>
              </w:rPr>
            </w:pPr>
            <w:r w:rsidRPr="006A608C">
              <w:rPr>
                <w:sz w:val="20"/>
                <w:szCs w:val="20"/>
              </w:rPr>
              <w:t>1</w:t>
            </w:r>
          </w:p>
        </w:tc>
        <w:tc>
          <w:tcPr>
            <w:tcW w:w="768" w:type="dxa"/>
            <w:tcBorders>
              <w:top w:val="single" w:sz="6" w:space="0" w:color="auto"/>
              <w:left w:val="nil"/>
              <w:bottom w:val="single" w:sz="6" w:space="0" w:color="auto"/>
              <w:right w:val="single" w:sz="6" w:space="0" w:color="auto"/>
            </w:tcBorders>
          </w:tcPr>
          <w:p w:rsidR="00213E77" w:rsidRPr="006A608C" w:rsidRDefault="00213E77" w:rsidP="00A426D6">
            <w:pPr>
              <w:spacing w:line="360" w:lineRule="auto"/>
              <w:rPr>
                <w:sz w:val="20"/>
                <w:szCs w:val="20"/>
              </w:rPr>
            </w:pPr>
            <w:r w:rsidRPr="006A608C">
              <w:rPr>
                <w:sz w:val="20"/>
                <w:szCs w:val="20"/>
              </w:rPr>
              <w:t>2</w:t>
            </w:r>
          </w:p>
        </w:tc>
        <w:tc>
          <w:tcPr>
            <w:tcW w:w="768" w:type="dxa"/>
            <w:tcBorders>
              <w:top w:val="nil"/>
              <w:left w:val="nil"/>
              <w:bottom w:val="single" w:sz="6" w:space="0" w:color="auto"/>
              <w:right w:val="single" w:sz="6" w:space="0" w:color="auto"/>
            </w:tcBorders>
          </w:tcPr>
          <w:p w:rsidR="00213E77" w:rsidRPr="006A608C" w:rsidRDefault="00213E77" w:rsidP="00A426D6">
            <w:pPr>
              <w:spacing w:line="360" w:lineRule="auto"/>
              <w:rPr>
                <w:sz w:val="20"/>
                <w:szCs w:val="20"/>
              </w:rPr>
            </w:pPr>
            <w:r w:rsidRPr="006A608C">
              <w:rPr>
                <w:sz w:val="20"/>
                <w:szCs w:val="20"/>
              </w:rPr>
              <w:t>1</w:t>
            </w:r>
          </w:p>
        </w:tc>
        <w:tc>
          <w:tcPr>
            <w:tcW w:w="768" w:type="dxa"/>
            <w:tcBorders>
              <w:top w:val="nil"/>
              <w:left w:val="nil"/>
              <w:bottom w:val="single" w:sz="6" w:space="0" w:color="auto"/>
              <w:right w:val="single" w:sz="6" w:space="0" w:color="auto"/>
            </w:tcBorders>
          </w:tcPr>
          <w:p w:rsidR="00213E77" w:rsidRPr="006A608C" w:rsidRDefault="00213E77" w:rsidP="00A426D6">
            <w:pPr>
              <w:spacing w:line="360" w:lineRule="auto"/>
              <w:rPr>
                <w:sz w:val="20"/>
                <w:szCs w:val="20"/>
              </w:rPr>
            </w:pPr>
            <w:r w:rsidRPr="006A608C">
              <w:rPr>
                <w:sz w:val="20"/>
                <w:szCs w:val="20"/>
              </w:rPr>
              <w:t>2</w:t>
            </w:r>
          </w:p>
        </w:tc>
        <w:tc>
          <w:tcPr>
            <w:tcW w:w="768" w:type="dxa"/>
            <w:tcBorders>
              <w:top w:val="single" w:sz="6" w:space="0" w:color="auto"/>
              <w:left w:val="nil"/>
              <w:bottom w:val="single" w:sz="6" w:space="0" w:color="auto"/>
              <w:right w:val="single" w:sz="6" w:space="0" w:color="auto"/>
            </w:tcBorders>
          </w:tcPr>
          <w:p w:rsidR="00213E77" w:rsidRPr="006A608C" w:rsidRDefault="00213E77" w:rsidP="00A426D6">
            <w:pPr>
              <w:spacing w:line="360" w:lineRule="auto"/>
              <w:rPr>
                <w:sz w:val="20"/>
                <w:szCs w:val="20"/>
              </w:rPr>
            </w:pPr>
            <w:r w:rsidRPr="006A608C">
              <w:rPr>
                <w:sz w:val="20"/>
                <w:szCs w:val="20"/>
              </w:rPr>
              <w:t>1</w:t>
            </w:r>
          </w:p>
        </w:tc>
        <w:tc>
          <w:tcPr>
            <w:tcW w:w="768" w:type="dxa"/>
            <w:tcBorders>
              <w:top w:val="single" w:sz="6" w:space="0" w:color="auto"/>
              <w:left w:val="nil"/>
              <w:bottom w:val="single" w:sz="6" w:space="0" w:color="auto"/>
              <w:right w:val="nil"/>
            </w:tcBorders>
          </w:tcPr>
          <w:p w:rsidR="00213E77" w:rsidRPr="006A608C" w:rsidRDefault="00213E77" w:rsidP="00A426D6">
            <w:pPr>
              <w:spacing w:line="360" w:lineRule="auto"/>
              <w:rPr>
                <w:sz w:val="20"/>
                <w:szCs w:val="20"/>
              </w:rPr>
            </w:pPr>
            <w:r w:rsidRPr="006A608C">
              <w:rPr>
                <w:sz w:val="20"/>
                <w:szCs w:val="20"/>
              </w:rPr>
              <w:t>2</w:t>
            </w:r>
          </w:p>
        </w:tc>
        <w:tc>
          <w:tcPr>
            <w:tcW w:w="768" w:type="dxa"/>
            <w:tcBorders>
              <w:top w:val="nil"/>
              <w:left w:val="single" w:sz="6" w:space="0" w:color="auto"/>
              <w:bottom w:val="single" w:sz="6" w:space="0" w:color="auto"/>
              <w:right w:val="single" w:sz="6" w:space="0" w:color="auto"/>
            </w:tcBorders>
          </w:tcPr>
          <w:p w:rsidR="00213E77" w:rsidRPr="006A608C" w:rsidRDefault="00213E77" w:rsidP="00A426D6">
            <w:pPr>
              <w:spacing w:line="360" w:lineRule="auto"/>
              <w:rPr>
                <w:sz w:val="20"/>
                <w:szCs w:val="20"/>
              </w:rPr>
            </w:pPr>
            <w:r w:rsidRPr="006A608C">
              <w:rPr>
                <w:sz w:val="20"/>
                <w:szCs w:val="20"/>
              </w:rPr>
              <w:t>1</w:t>
            </w:r>
          </w:p>
        </w:tc>
        <w:tc>
          <w:tcPr>
            <w:tcW w:w="768" w:type="dxa"/>
            <w:tcBorders>
              <w:top w:val="nil"/>
              <w:left w:val="nil"/>
              <w:bottom w:val="single" w:sz="6" w:space="0" w:color="auto"/>
              <w:right w:val="nil"/>
            </w:tcBorders>
          </w:tcPr>
          <w:p w:rsidR="00213E77" w:rsidRPr="006A608C" w:rsidRDefault="00213E77" w:rsidP="00A426D6">
            <w:pPr>
              <w:spacing w:line="360" w:lineRule="auto"/>
              <w:rPr>
                <w:sz w:val="20"/>
                <w:szCs w:val="20"/>
              </w:rPr>
            </w:pPr>
            <w:r w:rsidRPr="006A608C">
              <w:rPr>
                <w:sz w:val="20"/>
                <w:szCs w:val="20"/>
              </w:rPr>
              <w:t>2</w:t>
            </w:r>
          </w:p>
        </w:tc>
        <w:tc>
          <w:tcPr>
            <w:tcW w:w="768" w:type="dxa"/>
            <w:tcBorders>
              <w:top w:val="single" w:sz="6" w:space="0" w:color="auto"/>
              <w:left w:val="single" w:sz="6" w:space="0" w:color="auto"/>
              <w:bottom w:val="single" w:sz="6" w:space="0" w:color="auto"/>
              <w:right w:val="single" w:sz="6" w:space="0" w:color="auto"/>
            </w:tcBorders>
          </w:tcPr>
          <w:p w:rsidR="00213E77" w:rsidRPr="006A608C" w:rsidRDefault="00213E77" w:rsidP="00A426D6">
            <w:pPr>
              <w:spacing w:line="360" w:lineRule="auto"/>
              <w:rPr>
                <w:sz w:val="20"/>
                <w:szCs w:val="20"/>
              </w:rPr>
            </w:pPr>
            <w:r w:rsidRPr="006A608C">
              <w:rPr>
                <w:sz w:val="20"/>
                <w:szCs w:val="20"/>
              </w:rPr>
              <w:t>1</w:t>
            </w:r>
          </w:p>
        </w:tc>
        <w:tc>
          <w:tcPr>
            <w:tcW w:w="768" w:type="dxa"/>
            <w:tcBorders>
              <w:top w:val="single" w:sz="6" w:space="0" w:color="auto"/>
              <w:left w:val="nil"/>
              <w:bottom w:val="single" w:sz="6" w:space="0" w:color="auto"/>
            </w:tcBorders>
          </w:tcPr>
          <w:p w:rsidR="00213E77" w:rsidRPr="006A608C" w:rsidRDefault="00213E77" w:rsidP="00A426D6">
            <w:pPr>
              <w:spacing w:line="360" w:lineRule="auto"/>
              <w:rPr>
                <w:sz w:val="20"/>
                <w:szCs w:val="20"/>
              </w:rPr>
            </w:pPr>
            <w:r w:rsidRPr="006A608C">
              <w:rPr>
                <w:sz w:val="20"/>
                <w:szCs w:val="20"/>
              </w:rPr>
              <w:t>2</w:t>
            </w:r>
          </w:p>
        </w:tc>
      </w:tr>
      <w:tr w:rsidR="00213E77" w:rsidRPr="006A608C" w:rsidTr="006A608C">
        <w:trPr>
          <w:jc w:val="center"/>
        </w:trPr>
        <w:tc>
          <w:tcPr>
            <w:tcW w:w="1809" w:type="dxa"/>
            <w:tcBorders>
              <w:top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Денежная база</w:t>
            </w:r>
            <w:r w:rsidR="006A608C">
              <w:rPr>
                <w:sz w:val="20"/>
                <w:szCs w:val="20"/>
              </w:rPr>
              <w:t xml:space="preserve"> </w:t>
            </w:r>
          </w:p>
        </w:tc>
        <w:tc>
          <w:tcPr>
            <w:tcW w:w="851" w:type="dxa"/>
            <w:tcBorders>
              <w:top w:val="nil"/>
              <w:left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22,2</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100</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27</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100</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38</w:t>
            </w:r>
          </w:p>
        </w:tc>
        <w:tc>
          <w:tcPr>
            <w:tcW w:w="768" w:type="dxa"/>
            <w:tcBorders>
              <w:top w:val="nil"/>
              <w:left w:val="nil"/>
              <w:bottom w:val="nil"/>
              <w:right w:val="nil"/>
            </w:tcBorders>
          </w:tcPr>
          <w:p w:rsidR="00213E77" w:rsidRPr="006A608C" w:rsidRDefault="00213E77" w:rsidP="00A426D6">
            <w:pPr>
              <w:spacing w:line="360" w:lineRule="auto"/>
              <w:rPr>
                <w:sz w:val="20"/>
                <w:szCs w:val="20"/>
              </w:rPr>
            </w:pPr>
            <w:r w:rsidRPr="006A608C">
              <w:rPr>
                <w:sz w:val="20"/>
                <w:szCs w:val="20"/>
              </w:rPr>
              <w:t>100</w:t>
            </w:r>
          </w:p>
        </w:tc>
        <w:tc>
          <w:tcPr>
            <w:tcW w:w="768" w:type="dxa"/>
            <w:tcBorders>
              <w:top w:val="nil"/>
              <w:left w:val="single" w:sz="6" w:space="0" w:color="auto"/>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49,9</w:t>
            </w:r>
          </w:p>
        </w:tc>
        <w:tc>
          <w:tcPr>
            <w:tcW w:w="768" w:type="dxa"/>
            <w:tcBorders>
              <w:top w:val="nil"/>
              <w:left w:val="nil"/>
              <w:bottom w:val="nil"/>
              <w:right w:val="nil"/>
            </w:tcBorders>
          </w:tcPr>
          <w:p w:rsidR="00213E77" w:rsidRPr="006A608C" w:rsidRDefault="00213E77" w:rsidP="00A426D6">
            <w:pPr>
              <w:spacing w:line="360" w:lineRule="auto"/>
              <w:rPr>
                <w:sz w:val="20"/>
                <w:szCs w:val="20"/>
              </w:rPr>
            </w:pPr>
            <w:r w:rsidRPr="006A608C">
              <w:rPr>
                <w:sz w:val="20"/>
                <w:szCs w:val="20"/>
              </w:rPr>
              <w:t>100</w:t>
            </w:r>
          </w:p>
        </w:tc>
        <w:tc>
          <w:tcPr>
            <w:tcW w:w="768" w:type="dxa"/>
            <w:tcBorders>
              <w:top w:val="nil"/>
              <w:left w:val="single" w:sz="6" w:space="0" w:color="auto"/>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61,6</w:t>
            </w:r>
          </w:p>
        </w:tc>
        <w:tc>
          <w:tcPr>
            <w:tcW w:w="768" w:type="dxa"/>
            <w:tcBorders>
              <w:top w:val="nil"/>
              <w:left w:val="nil"/>
              <w:bottom w:val="nil"/>
            </w:tcBorders>
          </w:tcPr>
          <w:p w:rsidR="00213E77" w:rsidRPr="006A608C" w:rsidRDefault="00213E77" w:rsidP="00A426D6">
            <w:pPr>
              <w:spacing w:line="360" w:lineRule="auto"/>
              <w:rPr>
                <w:sz w:val="20"/>
                <w:szCs w:val="20"/>
              </w:rPr>
            </w:pPr>
            <w:r w:rsidRPr="006A608C">
              <w:rPr>
                <w:sz w:val="20"/>
                <w:szCs w:val="20"/>
              </w:rPr>
              <w:t>100</w:t>
            </w:r>
          </w:p>
        </w:tc>
      </w:tr>
      <w:tr w:rsidR="00213E77" w:rsidRPr="006A608C" w:rsidTr="006A608C">
        <w:trPr>
          <w:jc w:val="center"/>
        </w:trPr>
        <w:tc>
          <w:tcPr>
            <w:tcW w:w="1809" w:type="dxa"/>
            <w:tcBorders>
              <w:top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наличные деньги в обращении с учетом касс в КБ</w:t>
            </w:r>
          </w:p>
        </w:tc>
        <w:tc>
          <w:tcPr>
            <w:tcW w:w="851" w:type="dxa"/>
            <w:tcBorders>
              <w:top w:val="nil"/>
              <w:left w:val="nil"/>
              <w:bottom w:val="nil"/>
              <w:right w:val="single" w:sz="6" w:space="0" w:color="auto"/>
            </w:tcBorders>
          </w:tcPr>
          <w:p w:rsidR="00213E77" w:rsidRPr="006A608C" w:rsidRDefault="00213E77" w:rsidP="00A426D6">
            <w:pPr>
              <w:spacing w:line="360" w:lineRule="auto"/>
              <w:rPr>
                <w:sz w:val="20"/>
                <w:szCs w:val="20"/>
              </w:rPr>
            </w:pPr>
          </w:p>
          <w:p w:rsidR="00213E77" w:rsidRPr="006A608C" w:rsidRDefault="00213E77" w:rsidP="00A426D6">
            <w:pPr>
              <w:spacing w:line="360" w:lineRule="auto"/>
              <w:rPr>
                <w:sz w:val="20"/>
                <w:szCs w:val="20"/>
              </w:rPr>
            </w:pPr>
            <w:r w:rsidRPr="006A608C">
              <w:rPr>
                <w:sz w:val="20"/>
                <w:szCs w:val="20"/>
              </w:rPr>
              <w:t>13,9</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p>
          <w:p w:rsidR="00213E77" w:rsidRPr="006A608C" w:rsidRDefault="00213E77" w:rsidP="00A426D6">
            <w:pPr>
              <w:spacing w:line="360" w:lineRule="auto"/>
              <w:rPr>
                <w:sz w:val="20"/>
                <w:szCs w:val="20"/>
              </w:rPr>
            </w:pPr>
            <w:r w:rsidRPr="006A608C">
              <w:rPr>
                <w:sz w:val="20"/>
                <w:szCs w:val="20"/>
              </w:rPr>
              <w:t>62,6</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p>
          <w:p w:rsidR="00213E77" w:rsidRPr="006A608C" w:rsidRDefault="00213E77" w:rsidP="00A426D6">
            <w:pPr>
              <w:spacing w:line="360" w:lineRule="auto"/>
              <w:rPr>
                <w:sz w:val="20"/>
                <w:szCs w:val="20"/>
              </w:rPr>
            </w:pPr>
            <w:r w:rsidRPr="006A608C">
              <w:rPr>
                <w:sz w:val="20"/>
                <w:szCs w:val="20"/>
              </w:rPr>
              <w:t>16,8</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p>
          <w:p w:rsidR="00213E77" w:rsidRPr="006A608C" w:rsidRDefault="00213E77" w:rsidP="00A426D6">
            <w:pPr>
              <w:spacing w:line="360" w:lineRule="auto"/>
              <w:rPr>
                <w:sz w:val="20"/>
                <w:szCs w:val="20"/>
              </w:rPr>
            </w:pPr>
            <w:r w:rsidRPr="006A608C">
              <w:rPr>
                <w:sz w:val="20"/>
                <w:szCs w:val="20"/>
              </w:rPr>
              <w:t>62,2</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p>
          <w:p w:rsidR="00213E77" w:rsidRPr="006A608C" w:rsidRDefault="00213E77" w:rsidP="00A426D6">
            <w:pPr>
              <w:spacing w:line="360" w:lineRule="auto"/>
              <w:rPr>
                <w:sz w:val="20"/>
                <w:szCs w:val="20"/>
              </w:rPr>
            </w:pPr>
            <w:r w:rsidRPr="006A608C">
              <w:rPr>
                <w:sz w:val="20"/>
                <w:szCs w:val="20"/>
              </w:rPr>
              <w:t>24,8</w:t>
            </w:r>
          </w:p>
        </w:tc>
        <w:tc>
          <w:tcPr>
            <w:tcW w:w="768" w:type="dxa"/>
            <w:tcBorders>
              <w:top w:val="nil"/>
              <w:left w:val="nil"/>
              <w:bottom w:val="nil"/>
              <w:right w:val="nil"/>
            </w:tcBorders>
          </w:tcPr>
          <w:p w:rsidR="00213E77" w:rsidRPr="006A608C" w:rsidRDefault="00213E77" w:rsidP="00A426D6">
            <w:pPr>
              <w:spacing w:line="360" w:lineRule="auto"/>
              <w:rPr>
                <w:sz w:val="20"/>
                <w:szCs w:val="20"/>
              </w:rPr>
            </w:pPr>
          </w:p>
          <w:p w:rsidR="00213E77" w:rsidRPr="006A608C" w:rsidRDefault="00213E77" w:rsidP="00A426D6">
            <w:pPr>
              <w:spacing w:line="360" w:lineRule="auto"/>
              <w:rPr>
                <w:sz w:val="20"/>
                <w:szCs w:val="20"/>
              </w:rPr>
            </w:pPr>
            <w:r w:rsidRPr="006A608C">
              <w:rPr>
                <w:sz w:val="20"/>
                <w:szCs w:val="20"/>
              </w:rPr>
              <w:t>69,3</w:t>
            </w:r>
          </w:p>
        </w:tc>
        <w:tc>
          <w:tcPr>
            <w:tcW w:w="768" w:type="dxa"/>
            <w:tcBorders>
              <w:top w:val="nil"/>
              <w:left w:val="single" w:sz="6" w:space="0" w:color="auto"/>
              <w:bottom w:val="nil"/>
              <w:right w:val="single" w:sz="6" w:space="0" w:color="auto"/>
            </w:tcBorders>
          </w:tcPr>
          <w:p w:rsidR="00213E77" w:rsidRPr="006A608C" w:rsidRDefault="00213E77" w:rsidP="00A426D6">
            <w:pPr>
              <w:spacing w:line="360" w:lineRule="auto"/>
              <w:rPr>
                <w:sz w:val="20"/>
                <w:szCs w:val="20"/>
              </w:rPr>
            </w:pPr>
          </w:p>
          <w:p w:rsidR="00213E77" w:rsidRPr="006A608C" w:rsidRDefault="00213E77" w:rsidP="00A426D6">
            <w:pPr>
              <w:spacing w:line="360" w:lineRule="auto"/>
              <w:rPr>
                <w:sz w:val="20"/>
                <w:szCs w:val="20"/>
              </w:rPr>
            </w:pPr>
            <w:r w:rsidRPr="006A608C">
              <w:rPr>
                <w:sz w:val="20"/>
                <w:szCs w:val="20"/>
              </w:rPr>
              <w:t>31,6</w:t>
            </w:r>
          </w:p>
        </w:tc>
        <w:tc>
          <w:tcPr>
            <w:tcW w:w="768" w:type="dxa"/>
            <w:tcBorders>
              <w:top w:val="nil"/>
              <w:left w:val="nil"/>
              <w:bottom w:val="nil"/>
              <w:right w:val="nil"/>
            </w:tcBorders>
          </w:tcPr>
          <w:p w:rsidR="00213E77" w:rsidRPr="006A608C" w:rsidRDefault="00213E77" w:rsidP="00A426D6">
            <w:pPr>
              <w:spacing w:line="360" w:lineRule="auto"/>
              <w:rPr>
                <w:sz w:val="20"/>
                <w:szCs w:val="20"/>
              </w:rPr>
            </w:pPr>
          </w:p>
          <w:p w:rsidR="00213E77" w:rsidRPr="006A608C" w:rsidRDefault="00213E77" w:rsidP="00A426D6">
            <w:pPr>
              <w:spacing w:line="360" w:lineRule="auto"/>
              <w:rPr>
                <w:sz w:val="20"/>
                <w:szCs w:val="20"/>
              </w:rPr>
            </w:pPr>
            <w:r w:rsidRPr="006A608C">
              <w:rPr>
                <w:sz w:val="20"/>
                <w:szCs w:val="20"/>
              </w:rPr>
              <w:t>63,3</w:t>
            </w:r>
          </w:p>
        </w:tc>
        <w:tc>
          <w:tcPr>
            <w:tcW w:w="768" w:type="dxa"/>
            <w:tcBorders>
              <w:top w:val="nil"/>
              <w:left w:val="single" w:sz="6" w:space="0" w:color="auto"/>
              <w:bottom w:val="nil"/>
              <w:right w:val="single" w:sz="6" w:space="0" w:color="auto"/>
            </w:tcBorders>
          </w:tcPr>
          <w:p w:rsidR="00213E77" w:rsidRPr="006A608C" w:rsidRDefault="00213E77" w:rsidP="00A426D6">
            <w:pPr>
              <w:spacing w:line="360" w:lineRule="auto"/>
              <w:rPr>
                <w:sz w:val="20"/>
                <w:szCs w:val="20"/>
              </w:rPr>
            </w:pPr>
          </w:p>
          <w:p w:rsidR="00213E77" w:rsidRPr="006A608C" w:rsidRDefault="00213E77" w:rsidP="00A426D6">
            <w:pPr>
              <w:spacing w:line="360" w:lineRule="auto"/>
              <w:rPr>
                <w:sz w:val="20"/>
                <w:szCs w:val="20"/>
              </w:rPr>
            </w:pPr>
            <w:r w:rsidRPr="006A608C">
              <w:rPr>
                <w:sz w:val="20"/>
                <w:szCs w:val="20"/>
              </w:rPr>
              <w:t>38,2</w:t>
            </w:r>
          </w:p>
        </w:tc>
        <w:tc>
          <w:tcPr>
            <w:tcW w:w="768" w:type="dxa"/>
            <w:tcBorders>
              <w:top w:val="nil"/>
              <w:left w:val="nil"/>
              <w:bottom w:val="nil"/>
            </w:tcBorders>
          </w:tcPr>
          <w:p w:rsidR="00213E77" w:rsidRPr="006A608C" w:rsidRDefault="00213E77" w:rsidP="00A426D6">
            <w:pPr>
              <w:spacing w:line="360" w:lineRule="auto"/>
              <w:rPr>
                <w:sz w:val="20"/>
                <w:szCs w:val="20"/>
              </w:rPr>
            </w:pPr>
          </w:p>
          <w:p w:rsidR="00213E77" w:rsidRPr="006A608C" w:rsidRDefault="00213E77" w:rsidP="00A426D6">
            <w:pPr>
              <w:spacing w:line="360" w:lineRule="auto"/>
              <w:rPr>
                <w:sz w:val="20"/>
                <w:szCs w:val="20"/>
              </w:rPr>
            </w:pPr>
            <w:r w:rsidRPr="006A608C">
              <w:rPr>
                <w:sz w:val="20"/>
                <w:szCs w:val="20"/>
              </w:rPr>
              <w:t>62</w:t>
            </w:r>
          </w:p>
        </w:tc>
      </w:tr>
      <w:tr w:rsidR="00213E77" w:rsidRPr="006A608C" w:rsidTr="006A608C">
        <w:trPr>
          <w:jc w:val="center"/>
        </w:trPr>
        <w:tc>
          <w:tcPr>
            <w:tcW w:w="1809" w:type="dxa"/>
            <w:tcBorders>
              <w:top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кор. счета КБ</w:t>
            </w:r>
          </w:p>
        </w:tc>
        <w:tc>
          <w:tcPr>
            <w:tcW w:w="851" w:type="dxa"/>
            <w:tcBorders>
              <w:top w:val="nil"/>
              <w:left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5,6</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29,2</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6,6</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24,4</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7,8</w:t>
            </w:r>
          </w:p>
        </w:tc>
        <w:tc>
          <w:tcPr>
            <w:tcW w:w="768" w:type="dxa"/>
            <w:tcBorders>
              <w:top w:val="nil"/>
              <w:left w:val="nil"/>
              <w:bottom w:val="nil"/>
              <w:right w:val="nil"/>
            </w:tcBorders>
          </w:tcPr>
          <w:p w:rsidR="00213E77" w:rsidRPr="006A608C" w:rsidRDefault="00213E77" w:rsidP="00A426D6">
            <w:pPr>
              <w:spacing w:line="360" w:lineRule="auto"/>
              <w:rPr>
                <w:sz w:val="20"/>
                <w:szCs w:val="20"/>
              </w:rPr>
            </w:pPr>
            <w:r w:rsidRPr="006A608C">
              <w:rPr>
                <w:sz w:val="20"/>
                <w:szCs w:val="20"/>
              </w:rPr>
              <w:t>20,5</w:t>
            </w:r>
          </w:p>
        </w:tc>
        <w:tc>
          <w:tcPr>
            <w:tcW w:w="768" w:type="dxa"/>
            <w:tcBorders>
              <w:top w:val="nil"/>
              <w:left w:val="single" w:sz="6" w:space="0" w:color="auto"/>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10,1</w:t>
            </w:r>
          </w:p>
        </w:tc>
        <w:tc>
          <w:tcPr>
            <w:tcW w:w="768" w:type="dxa"/>
            <w:tcBorders>
              <w:top w:val="nil"/>
              <w:left w:val="nil"/>
              <w:bottom w:val="nil"/>
              <w:right w:val="nil"/>
            </w:tcBorders>
          </w:tcPr>
          <w:p w:rsidR="00213E77" w:rsidRPr="006A608C" w:rsidRDefault="00213E77" w:rsidP="00A426D6">
            <w:pPr>
              <w:spacing w:line="360" w:lineRule="auto"/>
              <w:rPr>
                <w:sz w:val="20"/>
                <w:szCs w:val="20"/>
              </w:rPr>
            </w:pPr>
            <w:r w:rsidRPr="006A608C">
              <w:rPr>
                <w:sz w:val="20"/>
                <w:szCs w:val="20"/>
              </w:rPr>
              <w:t>20,2</w:t>
            </w:r>
          </w:p>
        </w:tc>
        <w:tc>
          <w:tcPr>
            <w:tcW w:w="768" w:type="dxa"/>
            <w:tcBorders>
              <w:top w:val="nil"/>
              <w:left w:val="single" w:sz="6" w:space="0" w:color="auto"/>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13,4</w:t>
            </w:r>
          </w:p>
        </w:tc>
        <w:tc>
          <w:tcPr>
            <w:tcW w:w="768" w:type="dxa"/>
            <w:tcBorders>
              <w:top w:val="nil"/>
              <w:left w:val="nil"/>
              <w:bottom w:val="nil"/>
            </w:tcBorders>
          </w:tcPr>
          <w:p w:rsidR="00213E77" w:rsidRPr="006A608C" w:rsidRDefault="00213E77" w:rsidP="00A426D6">
            <w:pPr>
              <w:spacing w:line="360" w:lineRule="auto"/>
              <w:rPr>
                <w:sz w:val="20"/>
                <w:szCs w:val="20"/>
              </w:rPr>
            </w:pPr>
            <w:r w:rsidRPr="006A608C">
              <w:rPr>
                <w:sz w:val="20"/>
                <w:szCs w:val="20"/>
              </w:rPr>
              <w:t>21,8</w:t>
            </w:r>
          </w:p>
        </w:tc>
      </w:tr>
      <w:tr w:rsidR="00213E77" w:rsidRPr="006A608C" w:rsidTr="006A608C">
        <w:trPr>
          <w:jc w:val="center"/>
        </w:trPr>
        <w:tc>
          <w:tcPr>
            <w:tcW w:w="1809" w:type="dxa"/>
            <w:tcBorders>
              <w:top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 xml:space="preserve">обязатель-ные резервы </w:t>
            </w:r>
          </w:p>
        </w:tc>
        <w:tc>
          <w:tcPr>
            <w:tcW w:w="851" w:type="dxa"/>
            <w:tcBorders>
              <w:top w:val="nil"/>
              <w:left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2,7</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12,2</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3,6</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13,9</w:t>
            </w:r>
          </w:p>
        </w:tc>
        <w:tc>
          <w:tcPr>
            <w:tcW w:w="768" w:type="dxa"/>
            <w:tcBorders>
              <w:top w:val="nil"/>
              <w:left w:val="nil"/>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5,4</w:t>
            </w:r>
          </w:p>
        </w:tc>
        <w:tc>
          <w:tcPr>
            <w:tcW w:w="768" w:type="dxa"/>
            <w:tcBorders>
              <w:top w:val="nil"/>
              <w:left w:val="nil"/>
              <w:bottom w:val="nil"/>
              <w:right w:val="nil"/>
            </w:tcBorders>
          </w:tcPr>
          <w:p w:rsidR="00213E77" w:rsidRPr="006A608C" w:rsidRDefault="00213E77" w:rsidP="00A426D6">
            <w:pPr>
              <w:spacing w:line="360" w:lineRule="auto"/>
              <w:rPr>
                <w:sz w:val="20"/>
                <w:szCs w:val="20"/>
              </w:rPr>
            </w:pPr>
            <w:r w:rsidRPr="006A608C">
              <w:rPr>
                <w:sz w:val="20"/>
                <w:szCs w:val="20"/>
              </w:rPr>
              <w:t>14,2</w:t>
            </w:r>
          </w:p>
        </w:tc>
        <w:tc>
          <w:tcPr>
            <w:tcW w:w="768" w:type="dxa"/>
            <w:tcBorders>
              <w:top w:val="nil"/>
              <w:left w:val="single" w:sz="6" w:space="0" w:color="auto"/>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8,1</w:t>
            </w:r>
          </w:p>
        </w:tc>
        <w:tc>
          <w:tcPr>
            <w:tcW w:w="768" w:type="dxa"/>
            <w:tcBorders>
              <w:top w:val="nil"/>
              <w:left w:val="nil"/>
              <w:bottom w:val="nil"/>
              <w:right w:val="nil"/>
            </w:tcBorders>
          </w:tcPr>
          <w:p w:rsidR="00213E77" w:rsidRPr="006A608C" w:rsidRDefault="00213E77" w:rsidP="00A426D6">
            <w:pPr>
              <w:spacing w:line="360" w:lineRule="auto"/>
              <w:rPr>
                <w:sz w:val="20"/>
                <w:szCs w:val="20"/>
              </w:rPr>
            </w:pPr>
            <w:r w:rsidRPr="006A608C">
              <w:rPr>
                <w:sz w:val="20"/>
                <w:szCs w:val="20"/>
              </w:rPr>
              <w:t>16,2</w:t>
            </w:r>
          </w:p>
        </w:tc>
        <w:tc>
          <w:tcPr>
            <w:tcW w:w="768" w:type="dxa"/>
            <w:tcBorders>
              <w:top w:val="nil"/>
              <w:left w:val="single" w:sz="6" w:space="0" w:color="auto"/>
              <w:bottom w:val="nil"/>
              <w:right w:val="single" w:sz="6" w:space="0" w:color="auto"/>
            </w:tcBorders>
          </w:tcPr>
          <w:p w:rsidR="00213E77" w:rsidRPr="006A608C" w:rsidRDefault="00213E77" w:rsidP="00A426D6">
            <w:pPr>
              <w:spacing w:line="360" w:lineRule="auto"/>
              <w:rPr>
                <w:sz w:val="20"/>
                <w:szCs w:val="20"/>
              </w:rPr>
            </w:pPr>
            <w:r w:rsidRPr="006A608C">
              <w:rPr>
                <w:sz w:val="20"/>
                <w:szCs w:val="20"/>
              </w:rPr>
              <w:t>10</w:t>
            </w:r>
          </w:p>
        </w:tc>
        <w:tc>
          <w:tcPr>
            <w:tcW w:w="768" w:type="dxa"/>
            <w:tcBorders>
              <w:top w:val="nil"/>
              <w:left w:val="nil"/>
              <w:bottom w:val="nil"/>
            </w:tcBorders>
          </w:tcPr>
          <w:p w:rsidR="00213E77" w:rsidRPr="006A608C" w:rsidRDefault="00213E77" w:rsidP="00A426D6">
            <w:pPr>
              <w:spacing w:line="360" w:lineRule="auto"/>
              <w:rPr>
                <w:sz w:val="20"/>
                <w:szCs w:val="20"/>
              </w:rPr>
            </w:pPr>
            <w:r w:rsidRPr="006A608C">
              <w:rPr>
                <w:sz w:val="20"/>
                <w:szCs w:val="20"/>
              </w:rPr>
              <w:t>16,2</w:t>
            </w:r>
          </w:p>
        </w:tc>
      </w:tr>
    </w:tbl>
    <w:p w:rsidR="00994A98" w:rsidRPr="006A608C" w:rsidRDefault="00994A98" w:rsidP="00A426D6">
      <w:pPr>
        <w:spacing w:line="360" w:lineRule="auto"/>
        <w:ind w:firstLine="709"/>
        <w:jc w:val="both"/>
      </w:pPr>
    </w:p>
    <w:p w:rsidR="00213E77" w:rsidRPr="006A608C" w:rsidRDefault="00213E77" w:rsidP="00A426D6">
      <w:pPr>
        <w:spacing w:line="360" w:lineRule="auto"/>
        <w:ind w:firstLine="709"/>
        <w:jc w:val="both"/>
      </w:pPr>
      <w:r w:rsidRPr="006A608C">
        <w:t>Данная таблица наглядно иллюстрирует как реагирует Банк России повышением нормы обязательных резервов на увеличение денежной базы, при этом идет сокращение денег на счетах коммерческих банков.</w:t>
      </w:r>
    </w:p>
    <w:p w:rsidR="00C67A03" w:rsidRPr="006A608C" w:rsidRDefault="00C67A03" w:rsidP="00A426D6">
      <w:pPr>
        <w:spacing w:line="360" w:lineRule="auto"/>
        <w:ind w:firstLine="709"/>
        <w:jc w:val="both"/>
      </w:pPr>
      <w:r w:rsidRPr="006A608C">
        <w:t>Проводимая Банком России курсовая политика способствует дальнейшему развитию процессов дедолларизации. Продолжилась тенденция к снижению спроса экономических агентов на иностранную валюту. В целом за январь—апрель 2007 года суммарный объем нетто-продаж населению наличной иностранной валюты через обменные пункты сократился до 0,04 млрд долларов США по сравнению с 3,3 млрд долларов США за январь—апрель 2006 года. Согласно предварительным данным платежного баланса Российской Федерации, объем наличной иностранной валюты вне банков сократился за I квартал 2007 года на 1.6 млрд долларов США (в I квартале 2006 года он возрос на 0,05 млрд долларов США).</w:t>
      </w:r>
    </w:p>
    <w:p w:rsidR="00C67A03" w:rsidRPr="006A608C" w:rsidRDefault="00C67A03" w:rsidP="00A426D6">
      <w:pPr>
        <w:spacing w:line="360" w:lineRule="auto"/>
        <w:ind w:firstLine="709"/>
        <w:jc w:val="both"/>
      </w:pPr>
      <w:r w:rsidRPr="006A608C">
        <w:t xml:space="preserve">В рамках продолжения тенденции 2006 года к дедолларизации сбережений граждан в январе—мае 2007 года не происходило заметного роста вкладов населения в банках в иностранной валюте: по предварительным данным, темпы их прироста за этот период составили менее 1%. Удельный вес депозитов в иностранной валюте в структуре денежной массы в определении денежного обзора, по предварительным данным, на 1.06.2007 составил 10,1% и был значительно </w:t>
      </w:r>
      <w:r w:rsidR="00A67401" w:rsidRPr="006A608C">
        <w:t>меньше</w:t>
      </w:r>
      <w:r w:rsidR="00BE694C" w:rsidRPr="006A608C">
        <w:t>, чем годом ранее (15,2%)</w:t>
      </w:r>
    </w:p>
    <w:p w:rsidR="00BE694C" w:rsidRPr="006A608C" w:rsidRDefault="00BE694C" w:rsidP="00A426D6">
      <w:pPr>
        <w:spacing w:line="360" w:lineRule="auto"/>
        <w:ind w:firstLine="709"/>
        <w:jc w:val="both"/>
      </w:pPr>
      <w:r w:rsidRPr="006A608C">
        <w:t>Основным источником роста денежной массы в январе—мае 2007 года было увеличение чистых иностранных активов органов денежно-кредитного регулирования. Темп их прироста на 1.06.2007 по отношению</w:t>
      </w:r>
      <w:r w:rsidR="006A608C">
        <w:t xml:space="preserve"> </w:t>
      </w:r>
      <w:r w:rsidRPr="006A608C">
        <w:t>к</w:t>
      </w:r>
      <w:r w:rsidR="006A608C">
        <w:t xml:space="preserve"> </w:t>
      </w:r>
      <w:r w:rsidRPr="006A608C">
        <w:t>соответствующей</w:t>
      </w:r>
      <w:r w:rsidR="006A608C">
        <w:t xml:space="preserve"> </w:t>
      </w:r>
      <w:r w:rsidRPr="006A608C">
        <w:t>дате</w:t>
      </w:r>
      <w:r w:rsidR="006A608C">
        <w:t xml:space="preserve"> </w:t>
      </w:r>
      <w:r w:rsidRPr="006A608C">
        <w:t>2006 года,</w:t>
      </w:r>
      <w:r w:rsidR="006A608C">
        <w:t xml:space="preserve"> </w:t>
      </w:r>
      <w:r w:rsidRPr="006A608C">
        <w:t>по</w:t>
      </w:r>
      <w:r w:rsidR="006A608C">
        <w:t xml:space="preserve"> </w:t>
      </w:r>
      <w:r w:rsidRPr="006A608C">
        <w:t>предварительным</w:t>
      </w:r>
      <w:r w:rsidR="006A608C">
        <w:t xml:space="preserve"> </w:t>
      </w:r>
      <w:r w:rsidRPr="006A608C">
        <w:t>данным,</w:t>
      </w:r>
      <w:r w:rsidR="006A608C">
        <w:t xml:space="preserve"> </w:t>
      </w:r>
      <w:r w:rsidRPr="006A608C">
        <w:t>составил</w:t>
      </w:r>
      <w:r w:rsidR="006A608C">
        <w:t xml:space="preserve"> </w:t>
      </w:r>
      <w:r w:rsidRPr="006A608C">
        <w:t>55,4%.</w:t>
      </w:r>
    </w:p>
    <w:p w:rsidR="00BE694C" w:rsidRPr="006A608C" w:rsidRDefault="00BE694C" w:rsidP="00A426D6">
      <w:pPr>
        <w:spacing w:line="360" w:lineRule="auto"/>
        <w:ind w:firstLine="709"/>
        <w:jc w:val="both"/>
      </w:pPr>
      <w:r w:rsidRPr="006A608C">
        <w:t>В условиях значительного притока капитала, связанного с ростом стоимости капитальных активов и продолжающимся процессом развития и повышения емкости российского рынка капиталов, возросший объем покупки Банком России иностранной валюты и ускорение динамики денежной массы отражали растущий трансакционный спрос хозяйствующих субъектов на национальную валюту.</w:t>
      </w:r>
    </w:p>
    <w:p w:rsidR="00CE5CC2" w:rsidRPr="006A608C" w:rsidRDefault="00CE5CC2" w:rsidP="00A426D6">
      <w:pPr>
        <w:spacing w:line="360" w:lineRule="auto"/>
        <w:ind w:firstLine="709"/>
        <w:jc w:val="both"/>
      </w:pPr>
      <w:r w:rsidRPr="006A608C">
        <w:t>Другим важным источником опережающего роста денежной массы в 2007 году по сравнению с предыдущим был прирост требований банковского сектора к нефинансовым организациям и населению, который на 1.06.2007 составил 49,4% в годовом выражении (на 1.06.2006 — 45,6%).</w:t>
      </w:r>
    </w:p>
    <w:p w:rsidR="00CE5CC2" w:rsidRPr="006A608C" w:rsidRDefault="00CE5CC2" w:rsidP="00A426D6">
      <w:pPr>
        <w:spacing w:line="360" w:lineRule="auto"/>
        <w:ind w:firstLine="709"/>
        <w:jc w:val="both"/>
      </w:pPr>
      <w:r w:rsidRPr="006A608C">
        <w:t>Таким образом, в 2007 году сохранялось заметное влияние роста кредитов реальному сектору экономики на динамику денежной массы. Наибольшими темпами увеличивались объемы кредитов физическим лицам — 73,1% по состоянию на 1.05.2007 по отношению к аналогичной дате предыдущего года (в 2006 году соответствующий показатель составил 91,2%). Доля этих кредитов в общем объеме кредитов нефинансовым организациям и физическим лицам к началу мая 2007 года увеличилась до 26,0% (на 1.05.2006 — 22,7%). Суммарный объем кредитов, предоставленных нефинансовым организациям, к началу мая 2007 года увеличился на 44,6% по отношению к 1.05.2006 (в 2006 году соответству</w:t>
      </w:r>
      <w:r w:rsidR="00A67401" w:rsidRPr="006A608C">
        <w:t>ющий показатель составил 30,7%)</w:t>
      </w:r>
      <w:r w:rsidR="00B17A8D" w:rsidRPr="006A608C">
        <w:t xml:space="preserve"> </w:t>
      </w:r>
      <w:r w:rsidR="00A67401" w:rsidRPr="006A608C">
        <w:t>( Табл.2.2.4)</w:t>
      </w:r>
    </w:p>
    <w:p w:rsidR="00CE5CC2" w:rsidRPr="006A608C" w:rsidRDefault="00CE5CC2" w:rsidP="00A426D6">
      <w:pPr>
        <w:spacing w:line="360" w:lineRule="auto"/>
        <w:ind w:firstLine="709"/>
        <w:jc w:val="both"/>
      </w:pPr>
    </w:p>
    <w:p w:rsidR="00A67401" w:rsidRPr="006A608C" w:rsidRDefault="00A67401" w:rsidP="00A426D6">
      <w:pPr>
        <w:spacing w:line="360" w:lineRule="auto"/>
        <w:ind w:firstLine="709"/>
        <w:jc w:val="both"/>
      </w:pPr>
      <w:r w:rsidRPr="006A608C">
        <w:t>Табл.2.2.4</w:t>
      </w:r>
    </w:p>
    <w:p w:rsidR="00CE5CC2" w:rsidRPr="006A608C" w:rsidRDefault="00CE5CC2" w:rsidP="00A426D6">
      <w:pPr>
        <w:spacing w:line="360" w:lineRule="auto"/>
        <w:ind w:firstLine="709"/>
        <w:jc w:val="both"/>
      </w:pPr>
      <w:r w:rsidRPr="006A608C">
        <w:t>Оценка показателей денежной программы на 2007 год (млрд рублей)</w:t>
      </w:r>
    </w:p>
    <w:tbl>
      <w:tblPr>
        <w:tblW w:w="9715" w:type="dxa"/>
        <w:jc w:val="center"/>
        <w:tblLayout w:type="fixed"/>
        <w:tblCellMar>
          <w:left w:w="40" w:type="dxa"/>
          <w:right w:w="40" w:type="dxa"/>
        </w:tblCellMar>
        <w:tblLook w:val="0000" w:firstRow="0" w:lastRow="0" w:firstColumn="0" w:lastColumn="0" w:noHBand="0" w:noVBand="0"/>
      </w:tblPr>
      <w:tblGrid>
        <w:gridCol w:w="4867"/>
        <w:gridCol w:w="883"/>
        <w:gridCol w:w="883"/>
        <w:gridCol w:w="1162"/>
        <w:gridCol w:w="883"/>
        <w:gridCol w:w="1037"/>
      </w:tblGrid>
      <w:tr w:rsidR="00CE5CC2" w:rsidRPr="006A608C" w:rsidTr="006A608C">
        <w:trPr>
          <w:trHeight w:hRule="exact" w:val="768"/>
          <w:jc w:val="center"/>
        </w:trPr>
        <w:tc>
          <w:tcPr>
            <w:tcW w:w="4867" w:type="dxa"/>
            <w:vMerge w:val="restart"/>
            <w:tcBorders>
              <w:top w:val="single" w:sz="6" w:space="0" w:color="auto"/>
              <w:left w:val="single" w:sz="6" w:space="0" w:color="auto"/>
              <w:bottom w:val="nil"/>
              <w:right w:val="single" w:sz="6" w:space="0" w:color="auto"/>
            </w:tcBorders>
            <w:shd w:val="clear" w:color="auto" w:fill="FFFFFF"/>
          </w:tcPr>
          <w:p w:rsidR="00CE5CC2" w:rsidRPr="006A608C" w:rsidRDefault="00CE5CC2" w:rsidP="00A426D6">
            <w:pPr>
              <w:spacing w:line="360" w:lineRule="auto"/>
              <w:rPr>
                <w:sz w:val="20"/>
                <w:szCs w:val="20"/>
              </w:rPr>
            </w:pPr>
            <w:r w:rsidRPr="006A608C">
              <w:rPr>
                <w:bCs/>
                <w:sz w:val="20"/>
                <w:szCs w:val="20"/>
              </w:rPr>
              <w:t>-</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1.01.2007</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
                <w:sz w:val="20"/>
                <w:szCs w:val="20"/>
              </w:rPr>
              <w:t>1.06.2007</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1.01.2008</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
                <w:sz w:val="20"/>
                <w:szCs w:val="20"/>
              </w:rPr>
              <w:t>1.01.2008</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 xml:space="preserve">Прирост за </w:t>
            </w:r>
            <w:r w:rsidRPr="006A608C">
              <w:rPr>
                <w:spacing w:val="4"/>
                <w:sz w:val="20"/>
                <w:szCs w:val="20"/>
              </w:rPr>
              <w:t>2007 год</w:t>
            </w:r>
          </w:p>
        </w:tc>
      </w:tr>
      <w:tr w:rsidR="00CE5CC2" w:rsidRPr="006A608C" w:rsidTr="006A608C">
        <w:trPr>
          <w:trHeight w:hRule="exact" w:val="560"/>
          <w:jc w:val="center"/>
        </w:trPr>
        <w:tc>
          <w:tcPr>
            <w:tcW w:w="4867" w:type="dxa"/>
            <w:vMerge/>
            <w:tcBorders>
              <w:top w:val="nil"/>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p>
          <w:p w:rsidR="00CE5CC2" w:rsidRPr="006A608C" w:rsidRDefault="00CE5CC2" w:rsidP="00A426D6">
            <w:pPr>
              <w:spacing w:line="360" w:lineRule="auto"/>
              <w:rPr>
                <w:sz w:val="20"/>
                <w:szCs w:val="20"/>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Факт</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Факт</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6A608C" w:rsidRDefault="00CE5CC2" w:rsidP="00A426D6">
            <w:pPr>
              <w:spacing w:line="360" w:lineRule="auto"/>
              <w:rPr>
                <w:spacing w:val="2"/>
                <w:sz w:val="20"/>
                <w:szCs w:val="20"/>
                <w:lang w:val="en-US"/>
              </w:rPr>
            </w:pPr>
            <w:r w:rsidRPr="006A608C">
              <w:rPr>
                <w:spacing w:val="2"/>
                <w:sz w:val="20"/>
                <w:szCs w:val="20"/>
              </w:rPr>
              <w:t>Программа</w:t>
            </w:r>
          </w:p>
          <w:p w:rsidR="00CE5CC2" w:rsidRPr="006A608C" w:rsidRDefault="006A608C" w:rsidP="00A426D6">
            <w:pPr>
              <w:spacing w:line="360" w:lineRule="auto"/>
              <w:rPr>
                <w:sz w:val="20"/>
                <w:szCs w:val="20"/>
              </w:rPr>
            </w:pPr>
            <w:r w:rsidRPr="006A608C">
              <w:rPr>
                <w:spacing w:val="2"/>
                <w:sz w:val="20"/>
                <w:szCs w:val="20"/>
              </w:rPr>
              <w:t>*</w:t>
            </w:r>
            <w:r w:rsidR="00CE5CC2" w:rsidRPr="006A608C">
              <w:rPr>
                <w:spacing w:val="2"/>
                <w:sz w:val="20"/>
                <w:szCs w:val="20"/>
              </w:rPr>
              <w:t>*</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
                <w:sz w:val="20"/>
                <w:szCs w:val="20"/>
              </w:rPr>
              <w:t>Оценка</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
                <w:sz w:val="20"/>
                <w:szCs w:val="20"/>
              </w:rPr>
              <w:t>Оценка</w:t>
            </w:r>
          </w:p>
        </w:tc>
      </w:tr>
      <w:tr w:rsidR="00CE5CC2" w:rsidRPr="006A608C" w:rsidTr="006A608C">
        <w:trPr>
          <w:trHeight w:hRule="exact" w:val="326"/>
          <w:jc w:val="center"/>
        </w:trPr>
        <w:tc>
          <w:tcPr>
            <w:tcW w:w="486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pacing w:val="3"/>
                <w:sz w:val="20"/>
                <w:szCs w:val="20"/>
              </w:rPr>
              <w:t>Денежная база (узкое определение)</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pacing w:val="1"/>
                <w:sz w:val="20"/>
                <w:szCs w:val="20"/>
              </w:rPr>
              <w:t>3208</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pacing w:val="3"/>
                <w:sz w:val="20"/>
                <w:szCs w:val="20"/>
              </w:rPr>
              <w:t>3264</w:t>
            </w:r>
          </w:p>
        </w:tc>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CE5CC2" w:rsidRPr="006A608C" w:rsidRDefault="00CE5CC2" w:rsidP="00A426D6">
            <w:pPr>
              <w:spacing w:line="360" w:lineRule="auto"/>
              <w:rPr>
                <w:sz w:val="20"/>
                <w:szCs w:val="20"/>
              </w:rPr>
            </w:pPr>
            <w:r w:rsidRPr="006A608C">
              <w:rPr>
                <w:sz w:val="20"/>
                <w:szCs w:val="20"/>
              </w:rPr>
              <w:t>3687</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pacing w:val="1"/>
                <w:sz w:val="20"/>
                <w:szCs w:val="20"/>
              </w:rPr>
              <w:t>4087</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z w:val="20"/>
                <w:szCs w:val="20"/>
              </w:rPr>
              <w:t>879</w:t>
            </w:r>
          </w:p>
        </w:tc>
      </w:tr>
      <w:tr w:rsidR="00CE5CC2" w:rsidRPr="006A608C" w:rsidTr="006A608C">
        <w:trPr>
          <w:trHeight w:hRule="exact" w:val="317"/>
          <w:jc w:val="center"/>
        </w:trPr>
        <w:tc>
          <w:tcPr>
            <w:tcW w:w="486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3"/>
                <w:sz w:val="20"/>
                <w:szCs w:val="20"/>
              </w:rPr>
              <w:t>— наличные деньги в обращении (вне Банка России)</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
                <w:sz w:val="20"/>
                <w:szCs w:val="20"/>
              </w:rPr>
              <w:t>3062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0"/>
                <w:sz w:val="20"/>
                <w:szCs w:val="20"/>
              </w:rPr>
              <w:t>3110</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1"/>
                <w:sz w:val="20"/>
                <w:szCs w:val="20"/>
              </w:rPr>
              <w:t>3504</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
                <w:sz w:val="20"/>
                <w:szCs w:val="20"/>
              </w:rPr>
              <w:t>3896</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834</w:t>
            </w:r>
          </w:p>
        </w:tc>
      </w:tr>
      <w:tr w:rsidR="00CE5CC2" w:rsidRPr="006A608C" w:rsidTr="006A608C">
        <w:trPr>
          <w:trHeight w:hRule="exact" w:val="336"/>
          <w:jc w:val="center"/>
        </w:trPr>
        <w:tc>
          <w:tcPr>
            <w:tcW w:w="486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 обязательные резервы</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146</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154</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183</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191</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45</w:t>
            </w:r>
          </w:p>
        </w:tc>
      </w:tr>
      <w:tr w:rsidR="00CE5CC2" w:rsidRPr="006A608C" w:rsidTr="006A608C">
        <w:trPr>
          <w:trHeight w:hRule="exact" w:val="307"/>
          <w:jc w:val="center"/>
        </w:trPr>
        <w:tc>
          <w:tcPr>
            <w:tcW w:w="486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pacing w:val="2"/>
                <w:sz w:val="20"/>
                <w:szCs w:val="20"/>
              </w:rPr>
              <w:t>Чистые международные резервы</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pacing w:val="1"/>
                <w:sz w:val="20"/>
                <w:szCs w:val="20"/>
              </w:rPr>
              <w:t>7998</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pacing w:val="1"/>
                <w:sz w:val="20"/>
                <w:szCs w:val="20"/>
              </w:rPr>
              <w:t>10517</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pacing w:val="12"/>
                <w:sz w:val="20"/>
                <w:szCs w:val="20"/>
              </w:rPr>
              <w:t>9574</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pacing w:val="1"/>
                <w:sz w:val="20"/>
                <w:szCs w:val="20"/>
              </w:rPr>
              <w:t>11 009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z w:val="20"/>
                <w:szCs w:val="20"/>
              </w:rPr>
              <w:t>ЗОН</w:t>
            </w:r>
          </w:p>
        </w:tc>
      </w:tr>
      <w:tr w:rsidR="00CE5CC2" w:rsidRPr="006A608C" w:rsidTr="006A608C">
        <w:trPr>
          <w:trHeight w:hRule="exact" w:val="317"/>
          <w:jc w:val="center"/>
        </w:trPr>
        <w:tc>
          <w:tcPr>
            <w:tcW w:w="486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3"/>
                <w:sz w:val="20"/>
                <w:szCs w:val="20"/>
              </w:rPr>
              <w:t>— в млрд долларов США</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304</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399</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364</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418</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114</w:t>
            </w:r>
          </w:p>
        </w:tc>
      </w:tr>
      <w:tr w:rsidR="00CE5CC2" w:rsidRPr="006A608C" w:rsidTr="006A608C">
        <w:trPr>
          <w:trHeight w:hRule="exact" w:val="336"/>
          <w:jc w:val="center"/>
        </w:trPr>
        <w:tc>
          <w:tcPr>
            <w:tcW w:w="486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pacing w:val="3"/>
                <w:sz w:val="20"/>
                <w:szCs w:val="20"/>
              </w:rPr>
              <w:t>Чистые внутренние активы</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pacing w:val="2"/>
                <w:sz w:val="20"/>
                <w:szCs w:val="20"/>
              </w:rPr>
              <w:t>—4789</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pacing w:val="-11"/>
                <w:sz w:val="20"/>
                <w:szCs w:val="20"/>
              </w:rPr>
              <w:t>—7253</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pacing w:val="18"/>
                <w:sz w:val="20"/>
                <w:szCs w:val="20"/>
              </w:rPr>
              <w:t>—5887</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pacing w:val="4"/>
                <w:sz w:val="20"/>
                <w:szCs w:val="20"/>
              </w:rPr>
              <w:t>—6922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bCs/>
                <w:spacing w:val="3"/>
                <w:sz w:val="20"/>
                <w:szCs w:val="20"/>
              </w:rPr>
              <w:t>—2133</w:t>
            </w:r>
          </w:p>
        </w:tc>
      </w:tr>
      <w:tr w:rsidR="00CE5CC2" w:rsidRPr="006A608C" w:rsidTr="006A608C">
        <w:trPr>
          <w:trHeight w:hRule="exact" w:val="326"/>
          <w:jc w:val="center"/>
        </w:trPr>
        <w:tc>
          <w:tcPr>
            <w:tcW w:w="486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Чистый кредит расширенному правительству</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—3696</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—4851</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6"/>
                <w:sz w:val="20"/>
                <w:szCs w:val="20"/>
              </w:rPr>
              <w:t>—5326</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—4951</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2"/>
                <w:sz w:val="20"/>
                <w:szCs w:val="20"/>
              </w:rPr>
              <w:t>-1255</w:t>
            </w:r>
          </w:p>
        </w:tc>
      </w:tr>
      <w:tr w:rsidR="00CE5CC2" w:rsidRPr="006A608C" w:rsidTr="006A608C">
        <w:trPr>
          <w:trHeight w:hRule="exact" w:val="326"/>
          <w:jc w:val="center"/>
        </w:trPr>
        <w:tc>
          <w:tcPr>
            <w:tcW w:w="486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 чистый кредит федеральному правительству</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3"/>
                <w:sz w:val="20"/>
                <w:szCs w:val="20"/>
              </w:rPr>
              <w:t>—3350</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3"/>
                <w:sz w:val="20"/>
                <w:szCs w:val="20"/>
              </w:rPr>
              <w:t>—4186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7"/>
                <w:sz w:val="20"/>
                <w:szCs w:val="20"/>
              </w:rPr>
              <w:t>—5086</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—4551</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9"/>
                <w:sz w:val="20"/>
                <w:szCs w:val="20"/>
              </w:rPr>
              <w:t>— 1201</w:t>
            </w:r>
          </w:p>
        </w:tc>
      </w:tr>
      <w:tr w:rsidR="00CE5CC2" w:rsidRPr="006A608C" w:rsidTr="006A608C">
        <w:trPr>
          <w:trHeight w:hRule="exact" w:val="955"/>
          <w:jc w:val="center"/>
        </w:trPr>
        <w:tc>
          <w:tcPr>
            <w:tcW w:w="486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4"/>
                <w:sz w:val="20"/>
                <w:szCs w:val="20"/>
              </w:rPr>
              <w:t xml:space="preserve">— остатки средств консолидированных бюджетов </w:t>
            </w:r>
            <w:r w:rsidRPr="006A608C">
              <w:rPr>
                <w:spacing w:val="3"/>
                <w:sz w:val="20"/>
                <w:szCs w:val="20"/>
              </w:rPr>
              <w:t>субъектов Российской Федерации и государственных внебюджетных фондов на счетах в Банке России</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
                <w:sz w:val="20"/>
                <w:szCs w:val="20"/>
              </w:rPr>
              <w:t>—346</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—664</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9"/>
                <w:sz w:val="20"/>
                <w:szCs w:val="20"/>
              </w:rPr>
              <w:t>—240</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3"/>
                <w:sz w:val="20"/>
                <w:szCs w:val="20"/>
              </w:rPr>
              <w:t>—400</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—54</w:t>
            </w:r>
          </w:p>
        </w:tc>
      </w:tr>
      <w:tr w:rsidR="00CE5CC2" w:rsidRPr="006A608C" w:rsidTr="006A608C">
        <w:trPr>
          <w:trHeight w:hRule="exact" w:val="317"/>
          <w:jc w:val="center"/>
        </w:trPr>
        <w:tc>
          <w:tcPr>
            <w:tcW w:w="486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
                <w:sz w:val="20"/>
                <w:szCs w:val="20"/>
              </w:rPr>
              <w:t>Чистый кредит банкам</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- 810</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2006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3"/>
                <w:sz w:val="20"/>
                <w:szCs w:val="20"/>
              </w:rPr>
              <w:t>6 3 7</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9"/>
                <w:sz w:val="20"/>
                <w:szCs w:val="20"/>
              </w:rPr>
              <w:t xml:space="preserve">- </w:t>
            </w:r>
            <w:r w:rsidRPr="006A608C">
              <w:rPr>
                <w:spacing w:val="1"/>
                <w:sz w:val="20"/>
                <w:szCs w:val="20"/>
              </w:rPr>
              <w:t>1542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731EF3" w:rsidP="00A426D6">
            <w:pPr>
              <w:spacing w:line="360" w:lineRule="auto"/>
              <w:rPr>
                <w:sz w:val="20"/>
                <w:szCs w:val="20"/>
              </w:rPr>
            </w:pPr>
            <w:r w:rsidRPr="006A608C">
              <w:rPr>
                <w:spacing w:val="-3"/>
                <w:sz w:val="20"/>
                <w:szCs w:val="20"/>
              </w:rPr>
              <w:t>-</w:t>
            </w:r>
            <w:r w:rsidR="00CE5CC2" w:rsidRPr="006A608C">
              <w:rPr>
                <w:spacing w:val="-3"/>
                <w:sz w:val="20"/>
                <w:szCs w:val="20"/>
              </w:rPr>
              <w:t>732</w:t>
            </w:r>
          </w:p>
        </w:tc>
      </w:tr>
      <w:tr w:rsidR="00CE5CC2" w:rsidRPr="006A608C" w:rsidTr="006A608C">
        <w:trPr>
          <w:trHeight w:hRule="exact" w:val="298"/>
          <w:jc w:val="center"/>
        </w:trPr>
        <w:tc>
          <w:tcPr>
            <w:tcW w:w="486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 валовой кредит банкам</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28</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0</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5</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5</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_23</w:t>
            </w:r>
          </w:p>
        </w:tc>
      </w:tr>
      <w:tr w:rsidR="00CE5CC2" w:rsidRPr="006A608C" w:rsidTr="006A608C">
        <w:trPr>
          <w:trHeight w:hRule="exact" w:val="1064"/>
          <w:jc w:val="center"/>
        </w:trPr>
        <w:tc>
          <w:tcPr>
            <w:tcW w:w="486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4"/>
                <w:sz w:val="20"/>
                <w:szCs w:val="20"/>
              </w:rPr>
              <w:t xml:space="preserve">— корреспондентские счета кредитных организаций, </w:t>
            </w:r>
            <w:r w:rsidRPr="006A608C">
              <w:rPr>
                <w:spacing w:val="3"/>
                <w:sz w:val="20"/>
                <w:szCs w:val="20"/>
              </w:rPr>
              <w:t xml:space="preserve">депозиты банков в Банке России и другие инструменты </w:t>
            </w:r>
            <w:r w:rsidRPr="006A608C">
              <w:rPr>
                <w:spacing w:val="4"/>
                <w:sz w:val="20"/>
                <w:szCs w:val="20"/>
              </w:rPr>
              <w:t>абсорбирования свободной банковской ликвидности</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
                <w:sz w:val="20"/>
                <w:szCs w:val="20"/>
              </w:rPr>
              <w:t>—838</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
                <w:sz w:val="20"/>
                <w:szCs w:val="20"/>
              </w:rPr>
              <w:t>—2006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7"/>
                <w:sz w:val="20"/>
                <w:szCs w:val="20"/>
              </w:rPr>
              <w:t>- 642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5"/>
                <w:sz w:val="20"/>
                <w:szCs w:val="20"/>
              </w:rPr>
              <w:t>— 1547</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
                <w:sz w:val="20"/>
                <w:szCs w:val="20"/>
              </w:rPr>
              <w:t>—708</w:t>
            </w:r>
          </w:p>
        </w:tc>
      </w:tr>
      <w:tr w:rsidR="00CE5CC2" w:rsidRPr="006A608C" w:rsidTr="006A608C">
        <w:trPr>
          <w:trHeight w:hRule="exact" w:val="365"/>
          <w:jc w:val="center"/>
        </w:trPr>
        <w:tc>
          <w:tcPr>
            <w:tcW w:w="486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3"/>
                <w:sz w:val="20"/>
                <w:szCs w:val="20"/>
              </w:rPr>
              <w:t>Прочие чистые неклассифицированные активы</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—283</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1"/>
                <w:sz w:val="20"/>
                <w:szCs w:val="20"/>
              </w:rPr>
              <w:t>—397</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z w:val="20"/>
                <w:szCs w:val="20"/>
              </w:rPr>
              <w:t>76</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2"/>
                <w:sz w:val="20"/>
                <w:szCs w:val="20"/>
              </w:rPr>
              <w:t>—429</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E5CC2" w:rsidRPr="006A608C" w:rsidRDefault="00CE5CC2" w:rsidP="00A426D6">
            <w:pPr>
              <w:spacing w:line="360" w:lineRule="auto"/>
              <w:rPr>
                <w:sz w:val="20"/>
                <w:szCs w:val="20"/>
              </w:rPr>
            </w:pPr>
            <w:r w:rsidRPr="006A608C">
              <w:rPr>
                <w:spacing w:val="-8"/>
                <w:sz w:val="20"/>
                <w:szCs w:val="20"/>
              </w:rPr>
              <w:t>— 146</w:t>
            </w:r>
          </w:p>
        </w:tc>
      </w:tr>
    </w:tbl>
    <w:p w:rsidR="00CE5CC2" w:rsidRPr="006A608C" w:rsidRDefault="006A608C" w:rsidP="00A426D6">
      <w:pPr>
        <w:spacing w:line="360" w:lineRule="auto"/>
        <w:ind w:firstLine="709"/>
        <w:jc w:val="both"/>
      </w:pPr>
      <w:r>
        <w:br w:type="page"/>
      </w:r>
      <w:r w:rsidR="00CE5CC2" w:rsidRPr="006A608C">
        <w:t>* Показатели программы, рассчитываемые по фиксированному обменному курсу, определены исходя из официального курса рубля на начало 2007 года.</w:t>
      </w:r>
    </w:p>
    <w:p w:rsidR="00CE5CC2" w:rsidRPr="006A608C" w:rsidRDefault="00CE5CC2" w:rsidP="00A426D6">
      <w:pPr>
        <w:spacing w:line="360" w:lineRule="auto"/>
        <w:ind w:firstLine="709"/>
        <w:jc w:val="both"/>
      </w:pPr>
      <w:r w:rsidRPr="006A608C">
        <w:t>** Вариант 2, представленный в «Основных направлениях единой государственной денежно-кредитной политики на 2007 год», пересчитанный по официальному курсу рубля на начало 2007 года.</w:t>
      </w:r>
    </w:p>
    <w:p w:rsidR="00CE5CC2" w:rsidRPr="006A608C" w:rsidRDefault="00CE5CC2" w:rsidP="00A426D6">
      <w:pPr>
        <w:spacing w:line="360" w:lineRule="auto"/>
        <w:ind w:firstLine="709"/>
        <w:jc w:val="both"/>
      </w:pPr>
    </w:p>
    <w:p w:rsidR="00AE20E5" w:rsidRPr="006A608C" w:rsidRDefault="00AE20E5" w:rsidP="00A426D6">
      <w:pPr>
        <w:spacing w:line="360" w:lineRule="auto"/>
        <w:ind w:firstLine="709"/>
        <w:jc w:val="both"/>
      </w:pPr>
      <w:r w:rsidRPr="006A608C">
        <w:t>Усиление счета капитальных операций платежного баланса обусловило увеличение прироста международных резервов Российской Федерации (в долларовом эквиваленте) за январь—май 2007 года по сравнению с тем же периодом 2006 года примерно в 1,5 раза, что оказало определяющее воздействие на ускорение динамики денежной базы. Годовой темп прироста (по отношению к той же дате предыдущего года) денежной базы в узком определении на 1.06.2007 составил 38,6% по сравнению с</w:t>
      </w:r>
      <w:r w:rsidR="006A608C" w:rsidRPr="006A608C">
        <w:t xml:space="preserve"> </w:t>
      </w:r>
      <w:r w:rsidRPr="006A608C">
        <w:t>32,9% на 1.06.2006. Соответственно возрос уровень ликвидности банковского сектора. Среднемесячный объем совокупных резервов кредитных организаций в январе—мае 2007 года по сравнению с январем—маем 2006 года увеличился на 74,7%. Следствием этого стало снижение верхней границы диапазона колебаний процентной ставки MIACR по однодневным кредитам в рублях с 8,9% годовых в январе — мае 2006</w:t>
      </w:r>
      <w:r w:rsidRPr="006A608C">
        <w:tab/>
        <w:t>года до 7,5% годовых в январе—мае 2007 года при снижении в целом волатильности ставок MIACR.</w:t>
      </w:r>
    </w:p>
    <w:p w:rsidR="00AE20E5" w:rsidRPr="006A608C" w:rsidRDefault="00AE20E5" w:rsidP="00A426D6">
      <w:pPr>
        <w:spacing w:line="360" w:lineRule="auto"/>
        <w:ind w:firstLine="709"/>
        <w:jc w:val="both"/>
      </w:pPr>
      <w:r w:rsidRPr="006A608C">
        <w:t>При сохранении складывающихся в январе—мае 2007 года экономических тенденций годовой прирост денежной массы и денежной базы может оказаться выше, чем было предусмотрено в «Основных направлениях единой государственной денежно-кредитной политики на 2007 год». Усилившаяся в 2007</w:t>
      </w:r>
      <w:r w:rsidR="00A426D6">
        <w:t xml:space="preserve"> </w:t>
      </w:r>
      <w:r w:rsidRPr="006A608C">
        <w:t>году тенденция замедления скорости обращения денег, а также активизация внутреннею спроса</w:t>
      </w:r>
      <w:r w:rsidR="006A608C" w:rsidRPr="006A608C">
        <w:t xml:space="preserve"> </w:t>
      </w:r>
      <w:r w:rsidRPr="006A608C">
        <w:t>за счет ускоренного роста его инвестиционной компоненты дают основание повысить оценку годового прироста денежного агрегата М2 до 37—39%. В связи с этим оценка величины денежной базы в узком</w:t>
      </w:r>
      <w:r w:rsidR="006A608C" w:rsidRPr="006A608C">
        <w:t xml:space="preserve"> </w:t>
      </w:r>
      <w:r w:rsidRPr="006A608C">
        <w:t>определении в денежной программе увеличена до 4087 млрд рублей. Если воздействие факторов притока капитала и ускорения темпов экономического роста до конца года усилится по сравнению с наблюдаемым в январе—мае, годовой прирост денежной массы М2 может достигнуть и более высокого</w:t>
      </w:r>
      <w:r w:rsidR="006A608C" w:rsidRPr="006A608C">
        <w:t xml:space="preserve"> </w:t>
      </w:r>
      <w:r w:rsidRPr="006A608C">
        <w:t>уровня. Тем не менее при условии соответствия формируемого денежного предложения возросшему спросу на деньги замедление инфляции может продолжиться.</w:t>
      </w:r>
      <w:r w:rsidR="006A608C">
        <w:t xml:space="preserve"> </w:t>
      </w:r>
    </w:p>
    <w:p w:rsidR="00AE20E5" w:rsidRPr="006A608C" w:rsidRDefault="00AE20E5" w:rsidP="00A426D6">
      <w:pPr>
        <w:spacing w:line="360" w:lineRule="auto"/>
        <w:ind w:firstLine="709"/>
        <w:jc w:val="both"/>
      </w:pPr>
      <w:r w:rsidRPr="006A608C">
        <w:t>Прогнозируемый прирост чистых международных резервов увеличен по сравнению с уровнем, предусмотренным во втором варианте программы, поскольку в соответствии с уточненным платежным балансом более низкое, чем первоначально прогнозировалось в этом варианте, сальдо по счету текущих операций компенсируется более значительным притоком частного капитала. В этих условиях снижение чистых внутренних активов органов денежно-кредитного регулирования может составить 2,1 трлн рублей, что на 1,0 трлн рублей превышает первоначальный прогноз по данному варианту.</w:t>
      </w:r>
    </w:p>
    <w:p w:rsidR="00AE20E5" w:rsidRPr="006A608C" w:rsidRDefault="00AE20E5" w:rsidP="00A426D6">
      <w:pPr>
        <w:spacing w:line="360" w:lineRule="auto"/>
        <w:ind w:firstLine="709"/>
        <w:jc w:val="both"/>
      </w:pPr>
      <w:r w:rsidRPr="006A608C">
        <w:t>С учетом рассмотренных факторов уточнены и другие показатели денежной программы на 2007 год.</w:t>
      </w:r>
    </w:p>
    <w:p w:rsidR="00AE20E5" w:rsidRPr="006A608C" w:rsidRDefault="00AE20E5" w:rsidP="00A426D6">
      <w:pPr>
        <w:spacing w:line="360" w:lineRule="auto"/>
        <w:ind w:firstLine="709"/>
        <w:jc w:val="both"/>
      </w:pPr>
      <w:r w:rsidRPr="006A608C">
        <w:t xml:space="preserve">В условиях высокого уровня банковской ликвидности органы денежно-кредитного регулирования в 2007 году продолжили реализацию мер, направленных на частичное абсорбирование прироста денежного предложения, формируемого за счет операций Банка России на внутреннем валютном </w:t>
      </w:r>
      <w:r w:rsidR="003429CF" w:rsidRPr="006A608C">
        <w:t>рынке (Приложение 1).</w:t>
      </w:r>
    </w:p>
    <w:p w:rsidR="00AE20E5" w:rsidRPr="006A608C" w:rsidRDefault="00AE20E5" w:rsidP="00A426D6">
      <w:pPr>
        <w:spacing w:line="360" w:lineRule="auto"/>
        <w:ind w:firstLine="709"/>
        <w:jc w:val="both"/>
      </w:pPr>
      <w:r w:rsidRPr="006A608C">
        <w:t>Бюджетная политика и, в частности, механизм формирования Стабилизационного фонда Российской Федерации, как и в 2006 году, играют существенную роль в абсорбировании банковской ликвидности. Так, снижение чистого кредита расширенному правительству в январе—мае 2007 года составило 1,2 трлн рублей, что примерно соответствовало аналогичному показателю за январь—май 2006 года и составило 36,0% от денежной базы в узком определении на начало 2007 года.</w:t>
      </w:r>
    </w:p>
    <w:p w:rsidR="00AE20E5" w:rsidRPr="006A608C" w:rsidRDefault="00AE20E5" w:rsidP="00A426D6">
      <w:pPr>
        <w:spacing w:line="360" w:lineRule="auto"/>
        <w:ind w:firstLine="709"/>
        <w:jc w:val="both"/>
      </w:pPr>
      <w:r w:rsidRPr="006A608C">
        <w:t xml:space="preserve">Банк России при реализации денежно-кредитной политики в январе—мае 2007 года активизировал проведение депозитных операций и размещение облигаций Банка России (ОБР). Задолженность Банка России по депозитным операциям и операциям с ОБР с кредитными </w:t>
      </w:r>
      <w:r w:rsidR="009037CE" w:rsidRPr="006A608C">
        <w:t>организациями возросла за ян</w:t>
      </w:r>
      <w:r w:rsidRPr="006A608C">
        <w:t>варь—май 2007 года на 1,4 трлн рублей против 0,3 трлн рублей за тот же период 2006 года.</w:t>
      </w:r>
    </w:p>
    <w:p w:rsidR="00AE20E5" w:rsidRPr="006A608C" w:rsidRDefault="00AE20E5" w:rsidP="00A426D6">
      <w:pPr>
        <w:spacing w:line="360" w:lineRule="auto"/>
        <w:ind w:firstLine="709"/>
        <w:jc w:val="both"/>
      </w:pPr>
      <w:r w:rsidRPr="006A608C">
        <w:t>В 2007 году Банк России продолжил политику последовательного сужения коридора процентных ставок как путем повышения его нижней границы (фиксированной ставки по депозитным операциям на стандартных условиях «том-некст», «спот-некст», «до востребования»), так и за счет снижения его верхней границы</w:t>
      </w:r>
      <w:r w:rsidR="009037CE" w:rsidRPr="006A608C">
        <w:t xml:space="preserve"> </w:t>
      </w:r>
      <w:r w:rsidRPr="006A608C">
        <w:t>— ставки рефинансирования и ставки по кредитам «овернайт» Банка России. В соответствии с решениями Совета директоров Банка России ставка рефинансирования и ставка по кредитам «овернайт» с 29.01.2007 были снижены с 11 до 10,5% годовых и с 19.06.2007 — с 10,5 до</w:t>
      </w:r>
      <w:r w:rsidR="009037CE" w:rsidRPr="006A608C">
        <w:t xml:space="preserve"> 10% годовых, а со 02.04.2007 повышены процентные ставки по депозитным операциям Банка России на стандартных условиях «том-некст», «спот-некст» и «до востребования» с 2,25 до 2,5% и на стандартных условиях «одна неделя» и «спот-неделя» - с 2,75 до 3,0% годовых.</w:t>
      </w:r>
    </w:p>
    <w:p w:rsidR="00000742" w:rsidRPr="006A608C" w:rsidRDefault="00000742" w:rsidP="00A426D6">
      <w:pPr>
        <w:spacing w:line="360" w:lineRule="auto"/>
        <w:ind w:firstLine="709"/>
        <w:jc w:val="both"/>
      </w:pPr>
      <w:r w:rsidRPr="006A608C">
        <w:t>Процентные ставки по аукционным инструментам изъятия Банк России в 2007 году формировал в соответствии с условиями паритета между процентными ставками внутреннего и внешнего денежных рынков с учетом динамики валютного курса рубля.</w:t>
      </w:r>
    </w:p>
    <w:p w:rsidR="00731497" w:rsidRPr="006A608C" w:rsidRDefault="002C77ED" w:rsidP="00A426D6">
      <w:pPr>
        <w:spacing w:line="360" w:lineRule="auto"/>
        <w:ind w:firstLine="709"/>
        <w:jc w:val="both"/>
      </w:pPr>
      <w:r w:rsidRPr="006A608C">
        <w:t>B 2007 году произошло изменение схемы размещения ОБР. Вместо продажи долгосрочных ОБР с шестимесячной офертой Банк России начал выпускать краткосрочные облигации со сроком</w:t>
      </w:r>
      <w:r w:rsidR="00731497" w:rsidRPr="006A608C">
        <w:t xml:space="preserve"> до </w:t>
      </w:r>
      <w:r w:rsidRPr="006A608C">
        <w:t>погашения 7 месяцев и шестимесячным опционом «пу</w:t>
      </w:r>
      <w:r w:rsidR="00731497" w:rsidRPr="006A608C">
        <w:t>т».</w:t>
      </w:r>
      <w:r w:rsidRPr="006A608C">
        <w:t xml:space="preserve"> Первый выпуск краткосрочных ОБР объемом 250 млрд рублей состоялся</w:t>
      </w:r>
      <w:r w:rsidR="00731497" w:rsidRPr="006A608C">
        <w:t xml:space="preserve"> 15 марта. Как и прежде,</w:t>
      </w:r>
      <w:r w:rsidRPr="006A608C">
        <w:t xml:space="preserve"> размещение ОБР будет проводиться ежекварталь</w:t>
      </w:r>
      <w:r w:rsidR="00731497" w:rsidRPr="006A608C">
        <w:t>но с п</w:t>
      </w:r>
      <w:r w:rsidRPr="006A608C">
        <w:t>осле</w:t>
      </w:r>
      <w:r w:rsidR="00731497" w:rsidRPr="006A608C">
        <w:t xml:space="preserve">дующим регулярным доразмещением. При этом </w:t>
      </w:r>
      <w:r w:rsidRPr="006A608C">
        <w:t xml:space="preserve">аукционы </w:t>
      </w:r>
      <w:r w:rsidR="00731497" w:rsidRPr="006A608C">
        <w:t>по</w:t>
      </w:r>
      <w:r w:rsidRPr="006A608C">
        <w:t xml:space="preserve"> </w:t>
      </w:r>
      <w:r w:rsidR="00731497" w:rsidRPr="006A608C">
        <w:t>размещению новых</w:t>
      </w:r>
      <w:r w:rsidRPr="006A608C">
        <w:t xml:space="preserve"> выпусков ОБР будут сопровождаться предложе</w:t>
      </w:r>
      <w:r w:rsidR="00731497" w:rsidRPr="006A608C">
        <w:t>нием о досрочном выкупе уже обращающегося</w:t>
      </w:r>
      <w:r w:rsidRPr="006A608C">
        <w:t xml:space="preserve"> выпуска</w:t>
      </w:r>
      <w:r w:rsidR="00731497" w:rsidRPr="006A608C">
        <w:t>.</w:t>
      </w:r>
    </w:p>
    <w:p w:rsidR="00731497" w:rsidRPr="006A608C" w:rsidRDefault="002C77ED" w:rsidP="00A426D6">
      <w:pPr>
        <w:spacing w:line="360" w:lineRule="auto"/>
        <w:ind w:firstLine="709"/>
        <w:jc w:val="both"/>
      </w:pPr>
      <w:r w:rsidRPr="006A608C">
        <w:t xml:space="preserve">Для обеспечения бесперебойного осуществления </w:t>
      </w:r>
      <w:r w:rsidR="00731497" w:rsidRPr="006A608C">
        <w:t>расчетов Банк России ежедневно предоставл</w:t>
      </w:r>
      <w:r w:rsidRPr="006A608C">
        <w:t>ял банкам внутридневные кредиты, объем к</w:t>
      </w:r>
      <w:r w:rsidR="00731497" w:rsidRPr="006A608C">
        <w:t xml:space="preserve">оторых за январь—май 2007 года составил </w:t>
      </w:r>
      <w:r w:rsidRPr="006A608C">
        <w:t>4,4 трлн рублей</w:t>
      </w:r>
      <w:r w:rsidR="00731497" w:rsidRPr="006A608C">
        <w:t xml:space="preserve">; и увеличился по сравнению с аналогичным периодом </w:t>
      </w:r>
      <w:r w:rsidRPr="006A608C">
        <w:t>2006</w:t>
      </w:r>
      <w:r w:rsidR="00731497" w:rsidRPr="006A608C">
        <w:t xml:space="preserve"> </w:t>
      </w:r>
      <w:r w:rsidRPr="006A608C">
        <w:t>года</w:t>
      </w:r>
      <w:r w:rsidR="00731497" w:rsidRPr="006A608C">
        <w:t xml:space="preserve"> на 10%. В начале 2007 года креди</w:t>
      </w:r>
      <w:r w:rsidRPr="006A608C">
        <w:t xml:space="preserve">тные </w:t>
      </w:r>
      <w:r w:rsidR="00731497" w:rsidRPr="006A608C">
        <w:t>организации и</w:t>
      </w:r>
      <w:r w:rsidRPr="006A608C">
        <w:t xml:space="preserve"> их филиалы активно пользовались также "кредитами </w:t>
      </w:r>
      <w:r w:rsidR="00731497" w:rsidRPr="006A608C">
        <w:t>«овернайт». Объем предоставлен</w:t>
      </w:r>
      <w:r w:rsidRPr="006A608C">
        <w:t>ных Ба</w:t>
      </w:r>
      <w:r w:rsidR="00731497" w:rsidRPr="006A608C">
        <w:t>нком России кредитов «овернайт» за январь-</w:t>
      </w:r>
      <w:r w:rsidRPr="006A608C">
        <w:t xml:space="preserve">май увеличился по </w:t>
      </w:r>
      <w:r w:rsidR="00731497" w:rsidRPr="006A608C">
        <w:t xml:space="preserve">сравнению с соответствующим периодом </w:t>
      </w:r>
      <w:r w:rsidRPr="006A608C">
        <w:t>2006 года в 2,1 раз</w:t>
      </w:r>
      <w:r w:rsidR="00731497" w:rsidRPr="006A608C">
        <w:t xml:space="preserve">а и составил 31,0 млрд рублей. </w:t>
      </w:r>
    </w:p>
    <w:p w:rsidR="00A628F8" w:rsidRPr="006A608C" w:rsidRDefault="00731497" w:rsidP="00A426D6">
      <w:pPr>
        <w:spacing w:line="360" w:lineRule="auto"/>
        <w:ind w:firstLine="709"/>
        <w:jc w:val="both"/>
      </w:pPr>
      <w:r w:rsidRPr="006A608C">
        <w:t xml:space="preserve">В целом у кредитных организаций в январе-мае 2007 года </w:t>
      </w:r>
      <w:r w:rsidR="002C77ED" w:rsidRPr="006A608C">
        <w:t>не возникало значительной потребности в получении ликвидност</w:t>
      </w:r>
      <w:r w:rsidRPr="006A608C">
        <w:t xml:space="preserve">и от Банка России. Совокупный объем средств, предоставленных </w:t>
      </w:r>
      <w:r w:rsidR="002C77ED" w:rsidRPr="006A608C">
        <w:t>кредитным организациям посредством о</w:t>
      </w:r>
      <w:r w:rsidRPr="006A608C">
        <w:t>пераций прямого РЕПО, за январь-май составил 304,7</w:t>
      </w:r>
      <w:r w:rsidR="002C77ED" w:rsidRPr="006A608C">
        <w:t xml:space="preserve"> млрд</w:t>
      </w:r>
      <w:r w:rsidRPr="006A608C">
        <w:t xml:space="preserve"> </w:t>
      </w:r>
      <w:r w:rsidR="002C77ED" w:rsidRPr="006A608C">
        <w:t>рублей (в январе—мае 2006 года</w:t>
      </w:r>
      <w:r w:rsidRPr="006A608C">
        <w:t xml:space="preserve"> </w:t>
      </w:r>
      <w:r w:rsidR="002C77ED" w:rsidRPr="006A608C">
        <w:t>—</w:t>
      </w:r>
      <w:r w:rsidRPr="006A608C">
        <w:t xml:space="preserve"> 395,8 млрд рублей). Ломбардные кредиты </w:t>
      </w:r>
      <w:r w:rsidR="00A628F8" w:rsidRPr="006A608C">
        <w:t xml:space="preserve">также предоставлялись в </w:t>
      </w:r>
      <w:r w:rsidR="002C77ED" w:rsidRPr="006A608C">
        <w:t>неб</w:t>
      </w:r>
      <w:r w:rsidR="00A628F8" w:rsidRPr="006A608C">
        <w:t>ольшом объеме,</w:t>
      </w:r>
      <w:r w:rsidR="002C77ED" w:rsidRPr="006A608C">
        <w:t xml:space="preserve"> од</w:t>
      </w:r>
      <w:r w:rsidR="00A628F8" w:rsidRPr="006A608C">
        <w:t xml:space="preserve">нако количество предоставленных кредитов возросло </w:t>
      </w:r>
      <w:r w:rsidR="002C77ED" w:rsidRPr="006A608C">
        <w:t>по сравнению с январем-</w:t>
      </w:r>
      <w:r w:rsidR="00A628F8" w:rsidRPr="006A608C">
        <w:t>маем 2006 года в 1,5 раза,</w:t>
      </w:r>
      <w:r w:rsidR="002C77ED" w:rsidRPr="006A608C">
        <w:t xml:space="preserve"> а ко</w:t>
      </w:r>
      <w:r w:rsidR="00A628F8" w:rsidRPr="006A608C">
        <w:t>личество кредитных организаций,</w:t>
      </w:r>
      <w:r w:rsidR="002C77ED" w:rsidRPr="006A608C">
        <w:t xml:space="preserve"> которым они</w:t>
      </w:r>
      <w:r w:rsidR="00A628F8" w:rsidRPr="006A608C">
        <w:t xml:space="preserve"> были предоставлены, - более чем в 2 раза.</w:t>
      </w:r>
      <w:r w:rsidR="002C77ED" w:rsidRPr="006A608C">
        <w:t xml:space="preserve"> </w:t>
      </w:r>
    </w:p>
    <w:p w:rsidR="00A628F8" w:rsidRPr="006A608C" w:rsidRDefault="00A628F8" w:rsidP="00A426D6">
      <w:pPr>
        <w:spacing w:line="360" w:lineRule="auto"/>
        <w:ind w:firstLine="709"/>
        <w:jc w:val="both"/>
      </w:pPr>
      <w:r w:rsidRPr="006A608C">
        <w:t xml:space="preserve">В 2007 году </w:t>
      </w:r>
      <w:r w:rsidR="002C77ED" w:rsidRPr="006A608C">
        <w:t>Банк</w:t>
      </w:r>
      <w:r w:rsidRPr="006A608C">
        <w:t xml:space="preserve"> </w:t>
      </w:r>
      <w:r w:rsidR="002C77ED" w:rsidRPr="006A608C">
        <w:t>России при необходимости продолжит п</w:t>
      </w:r>
      <w:r w:rsidRPr="006A608C">
        <w:t>рименение операций «валютный сво</w:t>
      </w:r>
      <w:r w:rsidR="002C77ED" w:rsidRPr="006A608C">
        <w:t xml:space="preserve">п». </w:t>
      </w:r>
      <w:r w:rsidRPr="006A608C">
        <w:t>Обеспечением кредито</w:t>
      </w:r>
      <w:r w:rsidR="002C77ED" w:rsidRPr="006A608C">
        <w:t>в Банка</w:t>
      </w:r>
      <w:r w:rsidRPr="006A608C">
        <w:t xml:space="preserve"> России и </w:t>
      </w:r>
      <w:r w:rsidR="002C77ED" w:rsidRPr="006A608C">
        <w:t>сдел</w:t>
      </w:r>
      <w:r w:rsidRPr="006A608C">
        <w:t xml:space="preserve">ок прямого РЕПО являлись ценные </w:t>
      </w:r>
      <w:r w:rsidR="002C77ED" w:rsidRPr="006A608C">
        <w:t xml:space="preserve">бумаги, входящие в Ломбардный список Банка России. В структуре </w:t>
      </w:r>
      <w:r w:rsidRPr="006A608C">
        <w:t>портфеля ценных бумаг, используемых кредит</w:t>
      </w:r>
      <w:r w:rsidR="002C77ED" w:rsidRPr="006A608C">
        <w:t>ными орг</w:t>
      </w:r>
      <w:r w:rsidRPr="006A608C">
        <w:t xml:space="preserve">анизациями при рефинансировании, основную часть составляют облигации </w:t>
      </w:r>
      <w:r w:rsidR="002C77ED" w:rsidRPr="006A608C">
        <w:t>Российской Федерации, ОБР</w:t>
      </w:r>
      <w:r w:rsidRPr="006A608C">
        <w:t xml:space="preserve">, облигации юридических лиц - резидентов Российской </w:t>
      </w:r>
      <w:r w:rsidR="002C77ED" w:rsidRPr="006A608C">
        <w:t xml:space="preserve">Федерации </w:t>
      </w:r>
      <w:r w:rsidRPr="006A608C">
        <w:t>и</w:t>
      </w:r>
      <w:r w:rsidR="002C77ED" w:rsidRPr="006A608C">
        <w:t xml:space="preserve"> облигации кредитных</w:t>
      </w:r>
      <w:r w:rsidRPr="006A608C">
        <w:t xml:space="preserve"> организаций.</w:t>
      </w:r>
    </w:p>
    <w:p w:rsidR="00AB0C05" w:rsidRPr="006A608C" w:rsidRDefault="00A32050" w:rsidP="00A426D6">
      <w:pPr>
        <w:spacing w:line="360" w:lineRule="auto"/>
        <w:ind w:firstLine="709"/>
        <w:jc w:val="both"/>
      </w:pPr>
      <w:r w:rsidRPr="006A608C">
        <w:t xml:space="preserve">В </w:t>
      </w:r>
      <w:r w:rsidR="002C77ED" w:rsidRPr="006A608C">
        <w:t>рамках</w:t>
      </w:r>
      <w:r w:rsidRPr="006A608C">
        <w:t xml:space="preserve"> управления краткосро</w:t>
      </w:r>
      <w:r w:rsidR="002C77ED" w:rsidRPr="006A608C">
        <w:t>чной ликвидностью кредитны</w:t>
      </w:r>
      <w:r w:rsidRPr="006A608C">
        <w:t xml:space="preserve">е организации активно использовали </w:t>
      </w:r>
      <w:r w:rsidR="002C77ED" w:rsidRPr="006A608C">
        <w:t>усреднение</w:t>
      </w:r>
      <w:r w:rsidRPr="006A608C">
        <w:t xml:space="preserve"> </w:t>
      </w:r>
      <w:r w:rsidR="00AB0C05" w:rsidRPr="006A608C">
        <w:t>обязательных резервов, т.е. выполняли часть резервных требований путем поддержания</w:t>
      </w:r>
      <w:r w:rsidR="006A608C" w:rsidRPr="006A608C">
        <w:t xml:space="preserve"> </w:t>
      </w:r>
      <w:r w:rsidR="00AB0C05" w:rsidRPr="006A608C">
        <w:t>соответствующего среднемесячного остатка на корреспондентском счёте и субсчетах, открытых в Банке России.</w:t>
      </w:r>
      <w:r w:rsidR="006A608C">
        <w:t xml:space="preserve"> </w:t>
      </w:r>
    </w:p>
    <w:p w:rsidR="002C77ED" w:rsidRPr="006A608C" w:rsidRDefault="00AB0C05" w:rsidP="00A426D6">
      <w:pPr>
        <w:spacing w:line="360" w:lineRule="auto"/>
        <w:ind w:firstLine="709"/>
        <w:jc w:val="both"/>
      </w:pPr>
      <w:r w:rsidRPr="006A608C">
        <w:t>B мае 2007 года Советом</w:t>
      </w:r>
      <w:r w:rsidR="002C77ED" w:rsidRPr="006A608C">
        <w:t xml:space="preserve"> директоров Банка России было принято решение</w:t>
      </w:r>
      <w:r w:rsidRPr="006A608C">
        <w:t xml:space="preserve"> о повыш</w:t>
      </w:r>
      <w:r w:rsidR="002C77ED" w:rsidRPr="006A608C">
        <w:t>ении</w:t>
      </w:r>
      <w:r w:rsidRPr="006A608C">
        <w:t xml:space="preserve"> </w:t>
      </w:r>
      <w:r w:rsidR="002C77ED" w:rsidRPr="006A608C">
        <w:t>с</w:t>
      </w:r>
      <w:r w:rsidRPr="006A608C">
        <w:t xml:space="preserve"> 1 и</w:t>
      </w:r>
      <w:r w:rsidR="002C77ED" w:rsidRPr="006A608C">
        <w:t>юля 2007 года норматива обязательных резервов по обязательствам кредитных организаций перед физическими лицами в валюте Российской Федерации с 3,5 до 4,0%, по обязательствам перед банками-нерезидентами в валюте Российской Федерации и иностранной валюте, а также по иным обязательствам кредитных организаций в валюте Российской Федерации и обязательствам в иностранной валюте с 3,5 до 4,5%, что наряду с другими мерами будет способствовать ограничению роста денежной массы и снижению возможных инфляционных последств</w:t>
      </w:r>
      <w:r w:rsidRPr="006A608C">
        <w:t>ий, связанных с этим процессом.</w:t>
      </w:r>
    </w:p>
    <w:p w:rsidR="00CE5CC2" w:rsidRPr="006A608C" w:rsidRDefault="00CE5CC2" w:rsidP="00A426D6">
      <w:pPr>
        <w:spacing w:line="360" w:lineRule="auto"/>
        <w:ind w:firstLine="709"/>
        <w:jc w:val="both"/>
      </w:pPr>
    </w:p>
    <w:p w:rsidR="008127FE" w:rsidRPr="006A608C" w:rsidRDefault="008127FE" w:rsidP="00A426D6">
      <w:pPr>
        <w:spacing w:line="360" w:lineRule="auto"/>
        <w:ind w:firstLine="709"/>
        <w:jc w:val="center"/>
        <w:rPr>
          <w:b/>
        </w:rPr>
      </w:pPr>
      <w:r w:rsidRPr="006A608C">
        <w:rPr>
          <w:b/>
        </w:rPr>
        <w:t>Проблемы денежно-кредитной политики</w:t>
      </w:r>
    </w:p>
    <w:p w:rsidR="008127FE" w:rsidRPr="006A608C" w:rsidRDefault="008127FE" w:rsidP="00A426D6">
      <w:pPr>
        <w:spacing w:line="360" w:lineRule="auto"/>
        <w:ind w:firstLine="709"/>
        <w:jc w:val="both"/>
      </w:pPr>
    </w:p>
    <w:p w:rsidR="006C6AE6" w:rsidRPr="006A608C" w:rsidRDefault="008127FE" w:rsidP="00A426D6">
      <w:pPr>
        <w:spacing w:line="360" w:lineRule="auto"/>
        <w:ind w:firstLine="709"/>
        <w:jc w:val="both"/>
      </w:pPr>
      <w:r w:rsidRPr="006A608C">
        <w:t>Летом 2007 года в мирохозяйственной и валютно-финансовой сфере имело место кризисные явления, и по итогам 2007 года возможно существенное замедление мирового экономического роста. Так, в сентябре прошлого года ОЭСР понизил прогноз по темпам роста в 2007 году для экономики США с 2,1 до 1,9% и еврозоны – с 2,7 до 2,6%. Для сравнения отметим, что в 2006 году темпы прироста ВВП составили 3,3% - в США и 2,8% - в еврозоне. Такой ход событий прогнозировался в 2006 году ЦСА Росбанка, в материалах которого говорилось о «глобальном мыльном пузыре», предстоящем падении курса доллара, вероятном ухудшении экономической ситу</w:t>
      </w:r>
      <w:r w:rsidR="00037E69" w:rsidRPr="006A608C">
        <w:t xml:space="preserve">ации в США, проводились сравнения с предкризисной ситуацией в 1987-м и 1998гг. </w:t>
      </w:r>
      <w:r w:rsidR="006C6AE6" w:rsidRPr="006A608C">
        <w:t xml:space="preserve">По оценкам Алана Гринспена, сделанным в сентябре с 2007 г., не удается успешно «бороться с пузырями». В связи с этим для российских банков ухудшились условия по привлечению ресурсов с внешних и рынков, что не было учтено в официальных прогнозах. </w:t>
      </w:r>
    </w:p>
    <w:p w:rsidR="006C6AE6" w:rsidRPr="006A608C" w:rsidRDefault="006C6AE6" w:rsidP="00A426D6">
      <w:pPr>
        <w:spacing w:line="360" w:lineRule="auto"/>
        <w:ind w:firstLine="709"/>
        <w:jc w:val="both"/>
      </w:pPr>
      <w:r w:rsidRPr="006A608C">
        <w:t>Недооценка ряда мирохозяйственных факторов может привести к тому, что сальдо счета текущих операций в 2007-2010 гг. будет выше уровня, заложенного в основном варианте ЕДКП. Так, профицит счета текущих операций за три квартала 2007 г. уже превысил прогнозы ЦБ РФ на весь2007.</w:t>
      </w:r>
    </w:p>
    <w:p w:rsidR="00F9497A" w:rsidRPr="00F9497A" w:rsidRDefault="006C6AE6" w:rsidP="00A426D6">
      <w:pPr>
        <w:spacing w:line="360" w:lineRule="auto"/>
        <w:ind w:firstLine="709"/>
        <w:jc w:val="both"/>
      </w:pPr>
      <w:r w:rsidRPr="006A608C">
        <w:t>Еще год назад в материалах Банка России подчеркивалось, что основными задачами проводимой денежно-кредитной политики «являются неуклонное снижение инфляции и обеспечение устойчивости национальной валюты». В этом году Банк России ограничивается формулировкой лишь главной цели денежно-кредитной политики - задачей снижения инфляции.</w:t>
      </w:r>
    </w:p>
    <w:p w:rsidR="00F9497A" w:rsidRPr="00F9497A" w:rsidRDefault="006C6AE6" w:rsidP="00A426D6">
      <w:pPr>
        <w:spacing w:line="360" w:lineRule="auto"/>
        <w:ind w:firstLine="709"/>
        <w:jc w:val="both"/>
      </w:pPr>
      <w:r w:rsidRPr="006A608C">
        <w:t>При этом в среднесрочной перспективе планируется переход к более гибкому формированию валютного курса в связи с прогнозируемыми ухудшением условий торговли и уменьшением притока иностранной валюты.</w:t>
      </w:r>
    </w:p>
    <w:p w:rsidR="006C6AE6" w:rsidRPr="006A608C" w:rsidRDefault="006C6AE6" w:rsidP="00A426D6">
      <w:pPr>
        <w:spacing w:line="360" w:lineRule="auto"/>
        <w:ind w:firstLine="709"/>
        <w:jc w:val="both"/>
      </w:pPr>
      <w:r w:rsidRPr="006A608C">
        <w:t>Предполагается:</w:t>
      </w:r>
      <w:r w:rsidRPr="006A608C">
        <w:tab/>
      </w:r>
    </w:p>
    <w:p w:rsidR="006C6AE6" w:rsidRPr="006A608C" w:rsidRDefault="006C6AE6" w:rsidP="00A426D6">
      <w:pPr>
        <w:spacing w:line="360" w:lineRule="auto"/>
        <w:ind w:firstLine="709"/>
        <w:jc w:val="both"/>
      </w:pPr>
      <w:r w:rsidRPr="006A608C">
        <w:t>1.</w:t>
      </w:r>
      <w:r w:rsidR="006A608C">
        <w:t xml:space="preserve"> </w:t>
      </w:r>
      <w:r w:rsidRPr="006A608C">
        <w:t>перенести акцент с «программирования денежного предложения на использование процентной ставки»;</w:t>
      </w:r>
    </w:p>
    <w:p w:rsidR="006C6AE6" w:rsidRPr="006A608C" w:rsidRDefault="006C6AE6" w:rsidP="00A426D6">
      <w:pPr>
        <w:spacing w:line="360" w:lineRule="auto"/>
        <w:ind w:firstLine="709"/>
        <w:jc w:val="both"/>
      </w:pPr>
      <w:r w:rsidRPr="006A608C">
        <w:t>2. осуществить «переход от управления валютным</w:t>
      </w:r>
      <w:r w:rsidR="00F9497A" w:rsidRPr="00F9497A">
        <w:t xml:space="preserve"> </w:t>
      </w:r>
      <w:r w:rsidRPr="006A608C">
        <w:t>курсом к режиму свободного плавающего курса»:</w:t>
      </w:r>
    </w:p>
    <w:p w:rsidR="005D4100" w:rsidRPr="006A608C" w:rsidRDefault="006C6AE6" w:rsidP="00A426D6">
      <w:pPr>
        <w:spacing w:line="360" w:lineRule="auto"/>
        <w:ind w:firstLine="709"/>
        <w:jc w:val="both"/>
      </w:pPr>
      <w:r w:rsidRPr="006A608C">
        <w:t>В итоге возможны ощутимые колебания курса рубля, в том числе - в сторону повышения. Однако в ЕДКП на 2008 г. отсутствует ранее сформулированное положение о том, что «проводимая в России денежно-кредитная политика направлена на обеспечение внутренней и внешней стабильности национальной валюты». «Надо прежде всего обеспечить снижение инфляции, уберечься от чрезмерных колебаний рубля и при этом находить возможности для дальнейшего снижения налогов», - подчеркнул Виктор Зубков, выступая на пленарном заседании Госдумы 14 сентября 2007г.</w:t>
      </w:r>
    </w:p>
    <w:p w:rsidR="00004454" w:rsidRPr="006A608C" w:rsidRDefault="00004454" w:rsidP="00A426D6">
      <w:pPr>
        <w:spacing w:line="360" w:lineRule="auto"/>
        <w:ind w:firstLine="709"/>
        <w:jc w:val="both"/>
      </w:pPr>
      <w:r w:rsidRPr="006A608C">
        <w:t>Стратегическим направлением процентной политики в будущем году останется последовательное сужение коридора процентных ставок по операциям на денежном рынке. В условиях отмены ограничений на движение капитала нижняя граница коридора будет повышаться с учетом риска масштабного притока иностранного капитала.</w:t>
      </w:r>
    </w:p>
    <w:p w:rsidR="00004454" w:rsidRPr="006A608C" w:rsidRDefault="00004454" w:rsidP="00A426D6">
      <w:pPr>
        <w:spacing w:line="360" w:lineRule="auto"/>
        <w:ind w:firstLine="709"/>
        <w:jc w:val="both"/>
      </w:pPr>
      <w:r w:rsidRPr="006A608C">
        <w:t>Однако данный риск авторами документа трактуется недостаточно полно. Растущая зависимость от притока иностранного капитала (как краткосрочного, так и долгосрочного) затрудняет проведение экономической политики, в том числе решение сформулированных в документе задач по повышению роли процентных ставок. В качестве нейтрализующего механизма предлагается использовать повышение нормативов обязательных резервов. Это может способствовать ограничению роста банковской ликвидности и минимизации притока «горячих денег», однако не позволит решить проблему волатильности притока ресурсов в целом.</w:t>
      </w:r>
    </w:p>
    <w:p w:rsidR="00004454" w:rsidRPr="006A608C" w:rsidRDefault="00004454" w:rsidP="00A426D6">
      <w:pPr>
        <w:spacing w:line="360" w:lineRule="auto"/>
        <w:ind w:firstLine="709"/>
        <w:jc w:val="both"/>
      </w:pPr>
      <w:r w:rsidRPr="006A608C">
        <w:t>В последние годы, в условиях благоприятной внешнеторговой конъюнктуры, устойчиво увеличиваются накопленные объемы абсорбирования банковской ликвидности, превышающие, по оценкам Банка России, 4 трлн руб.</w:t>
      </w:r>
    </w:p>
    <w:p w:rsidR="00004454" w:rsidRPr="006A608C" w:rsidRDefault="00004454" w:rsidP="00A426D6">
      <w:pPr>
        <w:spacing w:line="360" w:lineRule="auto"/>
        <w:ind w:firstLine="709"/>
        <w:jc w:val="both"/>
      </w:pPr>
      <w:r w:rsidRPr="006A608C">
        <w:t>В то же время в июле-августе произошло заметное снижение объема свободной ликвидности российских банков. Внутренние проблемы банковской системы стали очевидными при ухудшении ситуации на международных финансовых рынках. Увеличение стоимости международных заимствований привело к обострению ситуации в некоторых российских банках.</w:t>
      </w:r>
    </w:p>
    <w:p w:rsidR="00004454" w:rsidRPr="006A608C" w:rsidRDefault="00004454" w:rsidP="00A426D6">
      <w:pPr>
        <w:spacing w:line="360" w:lineRule="auto"/>
        <w:ind w:firstLine="709"/>
        <w:jc w:val="both"/>
      </w:pPr>
      <w:r w:rsidRPr="006A608C">
        <w:t>В итоге Совет директоров Банка России 10 октября в целях улучшения ситуации, в частности, принял решение о временном снижении нормативов обязательных резервов, а также о повышении коэффициента усреднения. Начиная с 11 октября 2007 г., на три месяца снижены нормативы обязательных резервов по обязательствам кредитных организаций перед физическими лицами в валюте Российской Федерации - с 4,0 до 3,0%, по обязательствам перед банками-нерезидентами в валюте Российской Федерации и в иностранной валюте, а также по иным обязательствам кредитных организаций в валюте Российской Федерации и обязательствам в иностранной валю те - с 4,5 до 3,5%. Для кредитных организации, намеревающихся осуществить перерасчет обязательных резервов исходя из вновь установленных нормативов, предусматривается возможность проведения внеочередного регулирования в течение 11-15 октября с.г. Также с 1 ноября 2007 г. коэффициент усреднения для расчета усредненной величины обязательных резервов повышен с 0,3 до 0,418.</w:t>
      </w:r>
    </w:p>
    <w:p w:rsidR="00004454" w:rsidRPr="006A608C" w:rsidRDefault="00004454" w:rsidP="00A426D6">
      <w:pPr>
        <w:spacing w:line="360" w:lineRule="auto"/>
        <w:ind w:firstLine="709"/>
        <w:jc w:val="both"/>
      </w:pPr>
      <w:r w:rsidRPr="006A608C">
        <w:t>Однако, несмотря на принятые меры и благоприятные среднесрочные прогнозы по ценам на нефть, нельзя абсолютно игнорировать риски обострения проблем с ликвидностью, как в ближайшем будущем, так и в более отдаленной перспективе.</w:t>
      </w:r>
    </w:p>
    <w:p w:rsidR="00AA7998" w:rsidRPr="006A608C" w:rsidRDefault="00AA7998" w:rsidP="00A426D6">
      <w:pPr>
        <w:spacing w:line="360" w:lineRule="auto"/>
        <w:ind w:firstLine="709"/>
        <w:jc w:val="both"/>
      </w:pPr>
      <w:r w:rsidRPr="006A608C">
        <w:t>Банк России планирует более активное использование механизмов рефинансирования. В целях повышения эффективности операций рефинансирования кредитных организаций предполагается продолжить работу по созданию единого механизма рефинансирования.</w:t>
      </w:r>
    </w:p>
    <w:p w:rsidR="00AA7998" w:rsidRPr="006A608C" w:rsidRDefault="00AA7998" w:rsidP="00A426D6">
      <w:pPr>
        <w:spacing w:line="360" w:lineRule="auto"/>
        <w:ind w:firstLine="709"/>
        <w:jc w:val="both"/>
      </w:pPr>
      <w:r w:rsidRPr="006A608C">
        <w:t>Усилия ЦБ РФ будут направлены на создание системы, которая предоставит любой финансово-стабильной кредитной организации возможность получать внутридневные кредиты, кредиты овернайт и кредиты на срок до 1 года под любой вид обеспечения, входящий в «единый пул» обеспечения.</w:t>
      </w:r>
    </w:p>
    <w:p w:rsidR="00AA7998" w:rsidRPr="006A608C" w:rsidRDefault="00AA7998" w:rsidP="00A426D6">
      <w:pPr>
        <w:spacing w:line="360" w:lineRule="auto"/>
        <w:ind w:firstLine="709"/>
        <w:jc w:val="both"/>
      </w:pPr>
      <w:r w:rsidRPr="006A608C">
        <w:t>Такой подход можно поддержать, однако он нуждается в дальнейшее развитии, поскольку необходимо более интенсивное использование механизма рефинансирования и его превращение в реальный инструмент экономической политики:</w:t>
      </w:r>
    </w:p>
    <w:p w:rsidR="00AA7998" w:rsidRPr="006A608C" w:rsidRDefault="00AA7998" w:rsidP="00A426D6">
      <w:pPr>
        <w:spacing w:line="360" w:lineRule="auto"/>
        <w:ind w:firstLine="709"/>
        <w:jc w:val="both"/>
      </w:pPr>
      <w:r w:rsidRPr="006A608C">
        <w:t>1. с учетом тенденции к ухудшению ситуации с ликвидностью, проявившейся в III квартале 2007 г., и тем более в случае кризисного развития событий требуется реализация срочных мер, направленных на расширение возможностей, предоставляемых кредитным организациям;</w:t>
      </w:r>
    </w:p>
    <w:p w:rsidR="00AA7998" w:rsidRPr="006A608C" w:rsidRDefault="00AA7998" w:rsidP="00A426D6">
      <w:pPr>
        <w:spacing w:line="360" w:lineRule="auto"/>
        <w:ind w:firstLine="709"/>
        <w:jc w:val="both"/>
      </w:pPr>
      <w:r w:rsidRPr="006A608C">
        <w:t>2. нужна более тесная координация механизмов рефинансирования с задачами структурной политики. Поэтому следует ускорить работу по созданию юридической базы, предусматривающей создание производных инструментов (деривативов), что позволит осуществить целевое направление ликвидности на приоритетные цели;</w:t>
      </w:r>
    </w:p>
    <w:p w:rsidR="00AA7998" w:rsidRPr="006A608C" w:rsidRDefault="00AA7998" w:rsidP="00A426D6">
      <w:pPr>
        <w:spacing w:line="360" w:lineRule="auto"/>
        <w:ind w:firstLine="709"/>
        <w:jc w:val="both"/>
      </w:pPr>
      <w:r w:rsidRPr="006A608C">
        <w:t>3. необходимо дальнейшее совершенствование механизмов предоставления средств в режиме online.</w:t>
      </w:r>
    </w:p>
    <w:p w:rsidR="00AA7998" w:rsidRPr="006A608C" w:rsidRDefault="00AA7998" w:rsidP="00A426D6">
      <w:pPr>
        <w:spacing w:line="360" w:lineRule="auto"/>
        <w:ind w:firstLine="709"/>
        <w:jc w:val="both"/>
      </w:pPr>
      <w:r w:rsidRPr="006A608C">
        <w:t>В результате действий, предпринятых как Банком России, так и коммерческими банками, удалось улучшить ситуацию с показателем достаточности капитала (Н 1), который за первое полугодие 2007 г увеличился с 14,9 до 16,8%. Этому, в частности, способствовало проведение банковских IPO и заключение ряда крупных сделок по привлечению иностранных инвестиций в российский банковский сектор.</w:t>
      </w:r>
    </w:p>
    <w:p w:rsidR="005D4100" w:rsidRPr="006A608C" w:rsidRDefault="00AA7998" w:rsidP="00A426D6">
      <w:pPr>
        <w:spacing w:line="360" w:lineRule="auto"/>
        <w:ind w:firstLine="709"/>
        <w:jc w:val="both"/>
      </w:pPr>
      <w:r w:rsidRPr="006A608C">
        <w:t>С учетом актуальности вопросов повышения уровня капитализации банковской системы эти подходы можно было бы расширить, а также более детально прописать конкретные мероприятия и механизмы</w:t>
      </w:r>
      <w:r w:rsidR="00330DAD" w:rsidRPr="006A608C">
        <w:t xml:space="preserve"> для закрепления и решения данного вопроса.</w:t>
      </w:r>
    </w:p>
    <w:p w:rsidR="00330DAD" w:rsidRPr="006A608C" w:rsidRDefault="00330DAD" w:rsidP="00A426D6">
      <w:pPr>
        <w:spacing w:line="360" w:lineRule="auto"/>
        <w:ind w:firstLine="709"/>
        <w:jc w:val="both"/>
      </w:pPr>
      <w:r w:rsidRPr="006A608C">
        <w:t>Может быть превышен важнейший ориентир денежно-кредитной политики по инфляции (8%) в связи с притоком валютных ресурсов (из-за роста цен на нефть и внешней корпоративной задолженности) и с более высоким, чем ожидалось, расширением потребительского и инвестиционного спроса.</w:t>
      </w:r>
    </w:p>
    <w:p w:rsidR="00330DAD" w:rsidRPr="006A608C" w:rsidRDefault="00330DAD" w:rsidP="00A426D6">
      <w:pPr>
        <w:spacing w:line="360" w:lineRule="auto"/>
        <w:ind w:firstLine="709"/>
        <w:jc w:val="both"/>
      </w:pPr>
      <w:r w:rsidRPr="006A608C">
        <w:t xml:space="preserve">Так, в сентябре текущего года инфляция в годовом исчислении находилась примерно на уровне 2006 г., существенно превысив ориентиры ЦБ РФ. Еще в начале 2007 г. в материалах ЦСА Росбанка подчеркивалось: «...в 2007 г. будет действовать ряд факторов, затрудняющих выполнение Банком Poccии задачи по борьбе с инфляцией ... росту потребительских цен могут способствовать увеличение денежного предложения и импорт иностранных инвестиций, трансграничное кредитование, приток </w:t>
      </w:r>
      <w:r w:rsidR="00A426D6" w:rsidRPr="006A608C">
        <w:t>нефтедолларов</w:t>
      </w:r>
      <w:r w:rsidRPr="006A608C">
        <w:t>, повышение стоимости услуг и другие факторы».</w:t>
      </w:r>
    </w:p>
    <w:p w:rsidR="00330DAD" w:rsidRPr="006A608C" w:rsidRDefault="00330DAD" w:rsidP="00A426D6">
      <w:pPr>
        <w:spacing w:line="360" w:lineRule="auto"/>
        <w:ind w:firstLine="709"/>
        <w:jc w:val="both"/>
      </w:pPr>
      <w:r w:rsidRPr="006A608C">
        <w:t>Несмотря на то, что многие актуальные процессы в документе отражены верно, некоторые проблемы возникающие риски требуют более пристального внимания, а именно:</w:t>
      </w:r>
    </w:p>
    <w:p w:rsidR="00330DAD" w:rsidRPr="006A608C" w:rsidRDefault="00330DAD" w:rsidP="00A426D6">
      <w:pPr>
        <w:spacing w:line="360" w:lineRule="auto"/>
        <w:ind w:firstLine="709"/>
        <w:jc w:val="both"/>
      </w:pPr>
      <w:r w:rsidRPr="006A608C">
        <w:t>1. вопросы эффективной реализации режима свободного плавающего курса;</w:t>
      </w:r>
    </w:p>
    <w:p w:rsidR="00330DAD" w:rsidRPr="006A608C" w:rsidRDefault="00330DAD" w:rsidP="00A426D6">
      <w:pPr>
        <w:spacing w:line="360" w:lineRule="auto"/>
        <w:ind w:firstLine="709"/>
        <w:jc w:val="both"/>
      </w:pPr>
      <w:r w:rsidRPr="006A608C">
        <w:t>2. создание антикризисных стабилизаторов, позволяющих нивелировать негативный эффект от притока и оттока «горячих денег».</w:t>
      </w:r>
    </w:p>
    <w:p w:rsidR="00330DAD" w:rsidRPr="006A608C" w:rsidRDefault="00330DAD" w:rsidP="00A426D6">
      <w:pPr>
        <w:spacing w:line="360" w:lineRule="auto"/>
        <w:ind w:firstLine="709"/>
        <w:jc w:val="both"/>
      </w:pPr>
      <w:r w:rsidRPr="006A608C">
        <w:t>Возникает опасность волатильности и в связи с уходом Банка России с валютного рынка. Это увеличивает риск стихийного роста курса рубля выше допустимого уровня, что может негативно отразиться на конкурентоспособности российских предприятий как внутри страны, так и за рубежом.</w:t>
      </w:r>
    </w:p>
    <w:p w:rsidR="00330DAD" w:rsidRPr="006A608C" w:rsidRDefault="00330DAD" w:rsidP="00A426D6">
      <w:pPr>
        <w:spacing w:line="360" w:lineRule="auto"/>
        <w:ind w:firstLine="709"/>
        <w:jc w:val="both"/>
      </w:pPr>
      <w:r w:rsidRPr="006A608C">
        <w:t>Приток капитала и цена на нефть в перспективе могут быть выше, чем предполагается в ЕДКП. Так, цена на нефть может быть сравнительно высокой, в частности, в связи со следующими факторами:</w:t>
      </w:r>
    </w:p>
    <w:p w:rsidR="00330DAD" w:rsidRPr="006A608C" w:rsidRDefault="00330DAD" w:rsidP="00A426D6">
      <w:pPr>
        <w:spacing w:line="360" w:lineRule="auto"/>
        <w:ind w:firstLine="709"/>
        <w:jc w:val="both"/>
      </w:pPr>
      <w:r w:rsidRPr="006A608C">
        <w:t>- геополитическими;</w:t>
      </w:r>
    </w:p>
    <w:p w:rsidR="00330DAD" w:rsidRPr="006A608C" w:rsidRDefault="00330DAD" w:rsidP="00A426D6">
      <w:pPr>
        <w:spacing w:line="360" w:lineRule="auto"/>
        <w:ind w:firstLine="709"/>
        <w:jc w:val="both"/>
      </w:pPr>
      <w:r w:rsidRPr="006A608C">
        <w:t>- устойчивым ростом спроса со стороны быстро развивающихся стран (Китай, Индия и т.д.);</w:t>
      </w:r>
    </w:p>
    <w:p w:rsidR="00330DAD" w:rsidRPr="006A608C" w:rsidRDefault="00330DAD" w:rsidP="00A426D6">
      <w:pPr>
        <w:spacing w:line="360" w:lineRule="auto"/>
        <w:ind w:firstLine="709"/>
        <w:jc w:val="both"/>
      </w:pPr>
      <w:r w:rsidRPr="006A608C">
        <w:t>- ограниченным ростом предложения как в странах ОПЕК, так и нефтедобывающих государствах, не входящих в эту интеграционную группировку;</w:t>
      </w:r>
    </w:p>
    <w:p w:rsidR="00330DAD" w:rsidRPr="006A608C" w:rsidRDefault="00330DAD" w:rsidP="00A426D6">
      <w:pPr>
        <w:spacing w:line="360" w:lineRule="auto"/>
        <w:ind w:firstLine="709"/>
        <w:jc w:val="both"/>
      </w:pPr>
      <w:r w:rsidRPr="006A608C">
        <w:t xml:space="preserve">- действиями спекулятивного характера. </w:t>
      </w:r>
    </w:p>
    <w:p w:rsidR="00330DAD" w:rsidRPr="006A608C" w:rsidRDefault="006A608C" w:rsidP="00A426D6">
      <w:pPr>
        <w:spacing w:line="360" w:lineRule="auto"/>
        <w:ind w:firstLine="709"/>
        <w:jc w:val="both"/>
      </w:pPr>
      <w:r>
        <w:t xml:space="preserve"> </w:t>
      </w:r>
      <w:r w:rsidR="00330DAD" w:rsidRPr="006A608C">
        <w:t>Перечисленное может воздействовать на курс рубля, способствуя его колебаниям, в том числе в сторону повышения. В результате существует вероятность, что вновь придется использовать механизмы ЦБ РФ с целью поддержания относительного равновесия на валютном рынке. Эффективность осуществления режима свободного плавающего курса во многом будет зависеть от качества мониторинга ситуации на</w:t>
      </w:r>
      <w:r w:rsidR="00330DAD" w:rsidRPr="006A608C">
        <w:br/>
        <w:t>валютном рынке и факторов, определяющих состояние равновесия рынка.</w:t>
      </w:r>
    </w:p>
    <w:p w:rsidR="00330DAD" w:rsidRPr="006A608C" w:rsidRDefault="00330DAD" w:rsidP="00A426D6">
      <w:pPr>
        <w:spacing w:line="360" w:lineRule="auto"/>
        <w:ind w:firstLine="709"/>
        <w:jc w:val="both"/>
      </w:pPr>
      <w:r w:rsidRPr="006A608C">
        <w:t>Решение задач, поставленных перед Правительством РФ, способно ускорить развитие ряда экономических процессов и может внести коррективы в денежно-кредитные показатели.</w:t>
      </w:r>
    </w:p>
    <w:p w:rsidR="00F9497A" w:rsidRDefault="00F9497A" w:rsidP="00A426D6">
      <w:pPr>
        <w:spacing w:line="360" w:lineRule="auto"/>
        <w:ind w:firstLine="709"/>
        <w:jc w:val="center"/>
        <w:rPr>
          <w:b/>
          <w:lang w:val="en-US"/>
        </w:rPr>
      </w:pPr>
      <w:r>
        <w:br w:type="page"/>
      </w:r>
      <w:r w:rsidR="00791440" w:rsidRPr="00F9497A">
        <w:rPr>
          <w:b/>
        </w:rPr>
        <w:t>Анализ основных показателей деятельности</w:t>
      </w:r>
    </w:p>
    <w:p w:rsidR="005D4100" w:rsidRPr="00F9497A" w:rsidRDefault="00791440" w:rsidP="00A426D6">
      <w:pPr>
        <w:spacing w:line="360" w:lineRule="auto"/>
        <w:ind w:firstLine="709"/>
        <w:jc w:val="center"/>
        <w:rPr>
          <w:b/>
        </w:rPr>
      </w:pPr>
      <w:r w:rsidRPr="00F9497A">
        <w:rPr>
          <w:b/>
        </w:rPr>
        <w:t>ОАО «Тюменьэнергобанк»</w:t>
      </w:r>
    </w:p>
    <w:p w:rsidR="005D4100" w:rsidRPr="006A608C" w:rsidRDefault="005D4100" w:rsidP="00A426D6">
      <w:pPr>
        <w:spacing w:line="360" w:lineRule="auto"/>
        <w:ind w:firstLine="709"/>
        <w:jc w:val="both"/>
      </w:pPr>
    </w:p>
    <w:p w:rsidR="007B6DDE" w:rsidRPr="006A608C" w:rsidRDefault="007B6DDE" w:rsidP="00A426D6">
      <w:pPr>
        <w:spacing w:line="360" w:lineRule="auto"/>
        <w:ind w:firstLine="709"/>
        <w:jc w:val="both"/>
      </w:pPr>
      <w:r w:rsidRPr="006A608C">
        <w:t xml:space="preserve">Открытое акционерное общество «Тюменьэнергобанк» является кредитной организацией, созданной на основе добровольного объединения средств учредителей в соответствии с решением учредителей от 27 апреля 1993 года с наименованием Акционерное общество открытого типа «Строительный банк». </w:t>
      </w:r>
    </w:p>
    <w:p w:rsidR="007B6DDE" w:rsidRPr="006A608C" w:rsidRDefault="007B6DDE" w:rsidP="00A426D6">
      <w:pPr>
        <w:spacing w:line="360" w:lineRule="auto"/>
        <w:ind w:firstLine="709"/>
        <w:jc w:val="both"/>
      </w:pPr>
      <w:r w:rsidRPr="006A608C">
        <w:t>Экономические реформы, начало процессов приватизации потребовали изменения организационно-правовой формы банка. Банк смог привлечь широкий круг индивидуальных инвесторов и предприятий негосударственных форм собственности. В это же время начали появляться нормативные акты Центрального Банка РФ, регулирующие банковскую деятельность, предписывающие соблюдение определенных нормативов и формирование обязательных резервов, депонируемых в ЦБ. Это продиктовало</w:t>
      </w:r>
      <w:r w:rsidR="006A608C">
        <w:t xml:space="preserve"> </w:t>
      </w:r>
      <w:r w:rsidRPr="006A608C">
        <w:t>необходимость руководству Банка сосредоточить большое внимание на дальнейшем увеличении уставного капитала. С учетом накопленного опыта коммерческой деятельности и знаний банковского дела такая политика не могла дать положительного результата. Банк постепенно продолжал набирать обороты, наращивать клиентуру, укреплять кадровый состав. Решением акционеров от 15 марта 1996 года наименование организационно-правовой формы приведено</w:t>
      </w:r>
      <w:r w:rsidR="006A608C">
        <w:t xml:space="preserve"> </w:t>
      </w:r>
      <w:r w:rsidRPr="006A608C">
        <w:t>в соответствие с действующим законодательством и изменено фирменное (полное официальное) наименование на Открытое акционерное общество «Строительный банк». В соответствии с решением акционеров от 13 февраля 1999 года Банк был переименован, фирменное и сокращенное наименование – Открытое акционерное общество «Тюменьэнергобанк» (ОАО «Тюменьэнергобанк»). Банком получена лицензия на право совершения операций в иностранной валюте, в связи с чем, значительно расширился перечень услуг, предоставляемых клиентам. Серьезные преобразования потерпела материально-техническая база Банка: филиалы и подразделения головного банка оснащались современными средствами связи, была проведена автоматизация всего круга банковских операций, что позволило ускорить прохождение платежей и расширить сеть банков-корреспондентов. Банком была получена лицензия на совершение операций в иностранной валюте и лицензия профессионального участника рынка ценных бумаг. К настоящему времени Банком проведено 13 эмиссий акций, в результате чего общий объем уставного капитала превысил 740 млн. рублей, а собственный капитал банка 1,8 млрд. рублей. В 2002 году Банком начата реализация проекта по внедрению прогрессивных форм безналичных расчетов на основе банковских карт.</w:t>
      </w:r>
      <w:r w:rsidR="006A608C">
        <w:t xml:space="preserve"> </w:t>
      </w:r>
      <w:r w:rsidRPr="006A608C">
        <w:t>В 2006 году выполнена стратегическая задача в области развития пластикового бизнеса в банке, поставленная бизнес-планом, - проведен полный комплекс работ по вступлению в международную платежную систему VISA и в конце года выпущены первые пластиковые карты.</w:t>
      </w:r>
    </w:p>
    <w:p w:rsidR="007B6DDE" w:rsidRPr="006A608C" w:rsidRDefault="007B6DDE" w:rsidP="00A426D6">
      <w:pPr>
        <w:spacing w:line="360" w:lineRule="auto"/>
        <w:ind w:firstLine="709"/>
        <w:jc w:val="both"/>
      </w:pPr>
      <w:r w:rsidRPr="006A608C">
        <w:t xml:space="preserve">Банк в числе первых из банков области прошел процедуру проверки и с ноября </w:t>
      </w:r>
      <w:smartTag w:uri="urn:schemas-microsoft-com:office:smarttags" w:element="metricconverter">
        <w:smartTagPr>
          <w:attr w:name="ProductID" w:val="2004 г"/>
        </w:smartTagPr>
        <w:r w:rsidRPr="006A608C">
          <w:t>2004 г</w:t>
        </w:r>
      </w:smartTag>
      <w:r w:rsidRPr="006A608C">
        <w:t>. является участником системы обязательного страхования вкладов. ОАО «Тюменьэнергобанк» активно сотрудничает с компанией WESTERN UNION. Сегодня услуги по отправлению и выплате срочных денежных переводов без открытия счета через систему WESTERN UNION оказывают 10 филиалов и Головной офис Банка.</w:t>
      </w:r>
    </w:p>
    <w:p w:rsidR="007B6DDE" w:rsidRPr="006A608C" w:rsidRDefault="007B6DDE" w:rsidP="00A426D6">
      <w:pPr>
        <w:spacing w:line="360" w:lineRule="auto"/>
        <w:ind w:firstLine="709"/>
        <w:jc w:val="both"/>
      </w:pPr>
      <w:r w:rsidRPr="006A608C">
        <w:t>На сегодняшний день актуальным вопросом является – эффективное применение интернет – технологий для решения различных бизнес-задач. Одним из ключевых факторов конкурентоспособности Банка на финансовых рынках является его филиальная сеть. Она же – показатель его стабильности. Учитывая географию своей деятельности и стратегических интересов ОАО «Тюменьэнергобанк» проводит большую работу по развитию существующих филиалов и открытию новых перспективных подразделений. Банк расширяет свое присутствие как в регионе, так и за его пределами. За 2007 год на территории Уральского округа начало работать девять дополнительных</w:t>
      </w:r>
      <w:r w:rsidR="006A608C">
        <w:t xml:space="preserve"> </w:t>
      </w:r>
      <w:r w:rsidRPr="006A608C">
        <w:t>офисов</w:t>
      </w:r>
      <w:r w:rsidR="006A608C">
        <w:t xml:space="preserve"> </w:t>
      </w:r>
      <w:r w:rsidRPr="006A608C">
        <w:t>- В Тюмени (ДО «Восточный), Ишиме (ДО «Ишимский), в с.Казанское (ДО «Казанский), Тобольске ( ДО «Октябрьский), Челябинске(ДО «Горки»), Сургуте (ДО №1), Кургане (ДО «Автозаводской), в с. Абатское (ДО «Абатское), Заводоуковске (ДО Заводоуковский). Действует 9 операционных касс вне кассового узла. Основными чертами стратегии Банка, направленной его развитие были и остаются:</w:t>
      </w:r>
    </w:p>
    <w:p w:rsidR="007B6DDE" w:rsidRPr="006A608C" w:rsidRDefault="007B6DDE" w:rsidP="00A426D6">
      <w:pPr>
        <w:spacing w:line="360" w:lineRule="auto"/>
        <w:ind w:firstLine="709"/>
        <w:jc w:val="both"/>
      </w:pPr>
      <w:r w:rsidRPr="006A608C">
        <w:t>- соблюдение</w:t>
      </w:r>
      <w:r w:rsidR="006A608C">
        <w:t xml:space="preserve"> </w:t>
      </w:r>
      <w:r w:rsidRPr="006A608C">
        <w:t>действующего законодательства и норм банковского регулирования;</w:t>
      </w:r>
    </w:p>
    <w:p w:rsidR="007B6DDE" w:rsidRPr="006A608C" w:rsidRDefault="007B6DDE" w:rsidP="00A426D6">
      <w:pPr>
        <w:spacing w:line="360" w:lineRule="auto"/>
        <w:ind w:firstLine="709"/>
        <w:jc w:val="both"/>
      </w:pPr>
      <w:r w:rsidRPr="006A608C">
        <w:t>-</w:t>
      </w:r>
      <w:r w:rsidR="006A608C">
        <w:t xml:space="preserve"> </w:t>
      </w:r>
      <w:r w:rsidRPr="006A608C">
        <w:t>разумный консерватизм;</w:t>
      </w:r>
    </w:p>
    <w:p w:rsidR="007B6DDE" w:rsidRPr="006A608C" w:rsidRDefault="007B6DDE" w:rsidP="00A426D6">
      <w:pPr>
        <w:spacing w:line="360" w:lineRule="auto"/>
        <w:ind w:firstLine="709"/>
        <w:jc w:val="both"/>
      </w:pPr>
      <w:r w:rsidRPr="006A608C">
        <w:t>-</w:t>
      </w:r>
      <w:r w:rsidR="006A608C">
        <w:t xml:space="preserve"> </w:t>
      </w:r>
      <w:r w:rsidRPr="006A608C">
        <w:t>стремление к поддержанию ликвидности;</w:t>
      </w:r>
    </w:p>
    <w:p w:rsidR="007B6DDE" w:rsidRPr="006A608C" w:rsidRDefault="007B6DDE" w:rsidP="00A426D6">
      <w:pPr>
        <w:spacing w:line="360" w:lineRule="auto"/>
        <w:ind w:firstLine="709"/>
        <w:jc w:val="both"/>
      </w:pPr>
      <w:r w:rsidRPr="006A608C">
        <w:t>- способность оперативно реагировать на меняющуюся экономическую обстановку и потребности клиентов;</w:t>
      </w:r>
    </w:p>
    <w:p w:rsidR="007B6DDE" w:rsidRPr="006A608C" w:rsidRDefault="007B6DDE" w:rsidP="00A426D6">
      <w:pPr>
        <w:spacing w:line="360" w:lineRule="auto"/>
        <w:ind w:firstLine="709"/>
        <w:jc w:val="both"/>
      </w:pPr>
      <w:r w:rsidRPr="006A608C">
        <w:t>- динамичное развитие и постоянное совершенствование клиентского сервиса.</w:t>
      </w:r>
    </w:p>
    <w:p w:rsidR="007B6DDE" w:rsidRPr="006A608C" w:rsidRDefault="007B6DDE" w:rsidP="00A426D6">
      <w:pPr>
        <w:spacing w:line="360" w:lineRule="auto"/>
        <w:ind w:firstLine="709"/>
        <w:jc w:val="both"/>
      </w:pPr>
      <w:r w:rsidRPr="006A608C">
        <w:t xml:space="preserve">На сегодняшний день ОАО «Тюменьэнергобанк» - основной инвестор строительных проектов. За 14 лет своей деятельности ОАО «Тюменьэнергобанк» стал символом прочнейшей деловой репутации, надежного партнерства и прогрессивного бизнеса. Не случайно сегодня больше 20 ведущих предприятий Уральского федерального округа являются партнерами банка в бизнесе, совместно реализуют крупные региональные проекты, в том числе и принимают участие в реализации национальных проектов. Результаты прошедших лет стабильного развития, а также правильность выбранной руководством банка стратегии, подтвержденная годами успешной работы, позволяют руководителям предприятий строительной, промышленной, сельскохозяйственной отраслей уверенно смотреть в будущее. </w:t>
      </w:r>
    </w:p>
    <w:p w:rsidR="007B6DDE" w:rsidRPr="006A608C" w:rsidRDefault="007B6DDE" w:rsidP="00A426D6">
      <w:pPr>
        <w:spacing w:line="360" w:lineRule="auto"/>
        <w:ind w:firstLine="709"/>
        <w:jc w:val="both"/>
      </w:pPr>
      <w:r w:rsidRPr="006A608C">
        <w:t>2007 год в жизни Главной дирекции инвестиционных программ ОАО «Тюменьэнергобанк» и предприятий – партнеров стал годом воплощения масштабных планов и решения амбициозных задач. С 2007 года установлен шаг ввода жилья в эксплуатацию в объеме свыше 100 тысяч квадратных метров в год; в рамках другого национального проекта – «Развитие агропромышленного комплекса» профинансировано строительство животноводческих комплексов в Ишимском и Сорокинском районах, работают три хозяйства по производству зерна в Курганской области – это ООО «ТЭРРА», Урало-Сибирская холдинговая компания и ОАО «Пригородное»; в составе</w:t>
      </w:r>
      <w:r w:rsidR="006A608C">
        <w:t xml:space="preserve"> </w:t>
      </w:r>
      <w:r w:rsidRPr="006A608C">
        <w:t>проекта «Образование» возведены школы в поселке Мыс на 1250 мест и Тараскуль на 350 мест; по проекту «Здравоохранение» - корпуса санатория Тараскуль и реабилитационно - профилактического центра «Зея-плюс».</w:t>
      </w:r>
    </w:p>
    <w:p w:rsidR="00C43EAF" w:rsidRPr="006A608C" w:rsidRDefault="007B6DDE" w:rsidP="00A426D6">
      <w:pPr>
        <w:spacing w:line="360" w:lineRule="auto"/>
        <w:ind w:firstLine="709"/>
        <w:jc w:val="both"/>
      </w:pPr>
      <w:r w:rsidRPr="006A608C">
        <w:t>В 2007 году заключены соглашения о сотрудничестве с органами власти, с главами городов Курган, Тобольск, Ишим, Заводоуковск, Уватского, Аббатского и Викуловского районов. Для повышения эффективности управления проектами в практику работы включено подписание многосторонних инвестиционных соглашений между участниками инвестиционных проектов, в которых детально определяется стратегия реализации проектов, устанавливаются обязанности, объем вознаграждения и ответственность участников. Ведущую роль в организации работы по инвестиционным проектам принял на себя ОАО «Тюменьэнергобанк» и вновь подтвердил безусловное исполнение своих обязательств как старший партнер. Так, ссудная задолженность по инвестиционным кредитам предприятий – партнеров превысила в 2007 году 6,5 млрд. рублей, сформирована система реализации единой рекламно-информационной политики, проводится совместная работа по отводу земельных участков в Тюмени, Кургане, Ишиме. Сформирована трехлетняя программа генподрядных работ для участников холдинга, что позволит организовать постоянный строительный поток. Стабильно ведет строительство своих объектов группа компаний ООО «Тюменьгазстрой». Совместно с Тюменским домостроительным заводом отработана система крупнопанельного домостроения. Созданы подрядные подразделения в Кургане (ООО «СУ-51») и Тобольске (ООО «СУ-6»), осваивается монолитное строительство. В 2007 году введено в эксплуатацию 12 жилых домов. Со значительным превышением плана осуществляет свою деятельность ООО «ХК «Тюменьгазмеханизация»,</w:t>
      </w:r>
      <w:r w:rsidR="006A608C">
        <w:t xml:space="preserve"> </w:t>
      </w:r>
      <w:r w:rsidRPr="006A608C">
        <w:t>в активе которых объекты федерального значения в поселке Уват, реконструкция стадиона Геолог и Воронинские горки в Тюмени. Продолжает свою работу в группе предприятий – партнеров ООО «МПК «Атлант». Ведется совместная работа ЗАО «Тюменский домостроительный завод» и ООО «Тюменьгазстрой» по реализации взаимовыгодных, высокорентабельных проектов строительства жилья.</w:t>
      </w:r>
    </w:p>
    <w:p w:rsidR="007B6DDE" w:rsidRPr="006A608C" w:rsidRDefault="007B6DDE" w:rsidP="00A426D6">
      <w:pPr>
        <w:spacing w:line="360" w:lineRule="auto"/>
        <w:ind w:firstLine="709"/>
        <w:jc w:val="both"/>
      </w:pPr>
      <w:r w:rsidRPr="006A608C">
        <w:t>Постепенно меняется деятельность проектного института «СибНИПИгазстрой», как головной проектной организации. Среди примеров поступательной работы можно назвать перенос производства ОАО «Бенат» и застройку микрорайонов. По инициативе руководства Банка и «СибНИПИгазстрой» окончательно сформирован порядок двухэтапного проектирования. На первом этапе документация проходит предпроектную защиту на техническом совете, затем осуществляется ее корректировка, утверждение показателей инвестиционного проекта, переход к рабочему проектированию и формирование сметной стоимости</w:t>
      </w:r>
      <w:r w:rsidR="006A608C">
        <w:t xml:space="preserve"> </w:t>
      </w:r>
      <w:r w:rsidRPr="006A608C">
        <w:t>строительства будущих объектов.</w:t>
      </w:r>
    </w:p>
    <w:p w:rsidR="007B6DDE" w:rsidRPr="006A608C" w:rsidRDefault="007B6DDE" w:rsidP="00A426D6">
      <w:pPr>
        <w:spacing w:line="360" w:lineRule="auto"/>
        <w:ind w:firstLine="709"/>
        <w:jc w:val="both"/>
      </w:pPr>
      <w:r w:rsidRPr="006A608C">
        <w:t>В системе партнеров ОАО «Тюменьэнергобанк» стабильно работает централизованная система продаж объектов недвижимости и оформление сделок через ООО «Риэлт-Строй». Ввод в эксплуатацию целого ряда объектов позволит ООО «Риэлт-Строй» с 2008 года обеспечить стабильную финансовую базу для застройщиков.</w:t>
      </w:r>
    </w:p>
    <w:p w:rsidR="007B6DDE" w:rsidRPr="006A608C" w:rsidRDefault="007B6DDE" w:rsidP="00A426D6">
      <w:pPr>
        <w:spacing w:line="360" w:lineRule="auto"/>
        <w:ind w:firstLine="709"/>
        <w:jc w:val="both"/>
      </w:pPr>
      <w:r w:rsidRPr="006A608C">
        <w:t>Итоги работы ОАО «Тюменьэнергобанк» за 2007 год в очередной раз доказали уверенное и стабильное развитие финансово-кредитного учреждения. Накануне своего 15-летия Банк продолжает успешно развиваться, наращивая собственный бизнес, активно участвуя в социально значимых программах, а также в реализации четырех приоритетных национальных проектах: «Доступное жилье – гражданам России», «Здравоохранение», «Образование» и «Развитие АПК». В 2007 году ОАО «Тюменьэнергобанк» укрепил позиции устойчивой финансовой структуры на территории Уральского федерального округа. Все эти факторы позволяют не только удовлетворять основные потребности региона в развитии финансовой инфраструктуры, но и занимать активную общественную позицию и вести социально направленную политику.</w:t>
      </w:r>
    </w:p>
    <w:p w:rsidR="00214502" w:rsidRPr="006A608C" w:rsidRDefault="00214502" w:rsidP="00A426D6">
      <w:pPr>
        <w:spacing w:line="360" w:lineRule="auto"/>
        <w:ind w:firstLine="709"/>
        <w:jc w:val="both"/>
      </w:pPr>
      <w:r w:rsidRPr="006A608C">
        <w:t>ОАО «Тюменьэнергобанк» значительно продвинулся вперед, занял устойчивые позиции в региональном банковском секторе, проявил себя в сфере банковских услуг как крупный региональный финансовый институт, с устойчивой и динамичной историей развития. 2006 год стал для банка успешным и результативным по многим показателям. На конец года капитал ОАО «Тюменьэнергобанк» составлял 1,4 млрд.руб. По данному показателю банк уверенно занимает 4 место среди всех кредитных организаций, зарегистрированных на территории Тюменской области. Валюта баланса выросла за год на 43%, достигнув на 01 января 2007 года 17,5 млрд. руб. При этом, чистые активы составили 12,3 млрд. руб. Увеличился и объем размещенных в кредиты средств, составив на конец года 9 млрд. рублей. Основной показатель успешной деятельности Банка – текущая прибыль выросла за 2006 в 1,5 раза до 165 млн. руб. за 2006 год. План по прибыли, утвержденный Советом Директоров в размере 135 млн. руб., по факту выполнен на 121%. Показатель рентабельности активов составил 1,7% при рекомендованном ЦБ значении 1,5%. Рентабельность капитала составила 15% при установленном рекомендованном уровне не ниже 8%.</w:t>
      </w:r>
    </w:p>
    <w:p w:rsidR="00214502" w:rsidRPr="006A608C" w:rsidRDefault="00214502" w:rsidP="00A426D6">
      <w:pPr>
        <w:spacing w:line="360" w:lineRule="auto"/>
        <w:ind w:firstLine="709"/>
        <w:jc w:val="both"/>
      </w:pPr>
      <w:r w:rsidRPr="006A608C">
        <w:t xml:space="preserve">Еще одно немаловажное направление работы Банка – привлечение денежных средств. 2006 год был годом создания плацдарма для дальнейшего развития Банка в розничном направлении бизнеса. Поставленные задачи по объемам привлечения денежных средств населения были успешно реализованы. Благодаря таким факторам как увеличение пунктов обслуживания клиентов, эффективная маркетинговая деятельность, внимательная работа с клиентами, объем привлеченных средств частных лиц по состоянию на 01 января 2007 года составил 5,4 млрд. руб, увеличившись за год на 1,7 млрд. рублей, или более чем в полтора раза. Немаловажным фактором увеличения доверия к ОАО «Тюменьэнергобанк» со стороны частных лиц является участие Банка в системе страхования вкладов. </w:t>
      </w:r>
    </w:p>
    <w:p w:rsidR="00220704" w:rsidRPr="006A608C" w:rsidRDefault="00214502" w:rsidP="00A426D6">
      <w:pPr>
        <w:spacing w:line="360" w:lineRule="auto"/>
        <w:ind w:firstLine="709"/>
        <w:jc w:val="both"/>
      </w:pPr>
      <w:r w:rsidRPr="006A608C">
        <w:t>За 2007 год деятельность Банка в целом можно также признать успешной: прибыль составила 304 млн. руб., что на 85% больше прибыли предыдущего года, и на 10% больше планового размера прибыли, установленного Советом директоров. Чистые активы за год выросли на 27,2% и составили 15,9 млрд. рублей. Капитал Банка превысил 2 млрд. руб. и по состоянию на 01.01.08 равен 2012 млн. руб. Остатки на счетах частных лиц за прошедший год выросли на 40% и достигли 7,5 млрд. руб. Кредитный портфель вырос на 37% и достиг объема 12,2 млрд. рублей. Таким образом, Банк занимает четвертую позицию среди коммерческих банков Тюменской области по всем существенным показателям.</w:t>
      </w:r>
      <w:r w:rsidR="00220704" w:rsidRPr="006A608C">
        <w:t xml:space="preserve"> Кредитный портфель банка складывается из кредитов, которые предоставлены различным компаниям,</w:t>
      </w:r>
      <w:r w:rsidR="006A608C">
        <w:t xml:space="preserve"> </w:t>
      </w:r>
      <w:r w:rsidR="00220704" w:rsidRPr="006A608C">
        <w:t xml:space="preserve">предприятиям и организациям (табл. 2.4.5). </w:t>
      </w:r>
    </w:p>
    <w:p w:rsidR="00220704" w:rsidRPr="006A608C" w:rsidRDefault="00220704" w:rsidP="00A426D6">
      <w:pPr>
        <w:pStyle w:val="a5"/>
        <w:ind w:firstLine="709"/>
        <w:rPr>
          <w:sz w:val="28"/>
          <w:szCs w:val="28"/>
        </w:rPr>
      </w:pPr>
    </w:p>
    <w:p w:rsidR="00220704" w:rsidRPr="006A608C" w:rsidRDefault="00220704" w:rsidP="00A426D6">
      <w:pPr>
        <w:pStyle w:val="a5"/>
        <w:ind w:firstLine="709"/>
        <w:rPr>
          <w:b w:val="0"/>
          <w:sz w:val="28"/>
          <w:szCs w:val="28"/>
        </w:rPr>
      </w:pPr>
      <w:r w:rsidRPr="006A608C">
        <w:rPr>
          <w:b w:val="0"/>
          <w:sz w:val="28"/>
          <w:szCs w:val="28"/>
        </w:rPr>
        <w:t>Таблица 2.4.5</w:t>
      </w:r>
    </w:p>
    <w:p w:rsidR="00220704" w:rsidRPr="006A608C" w:rsidRDefault="00220704" w:rsidP="00A426D6">
      <w:pPr>
        <w:pStyle w:val="a5"/>
        <w:ind w:firstLine="709"/>
        <w:rPr>
          <w:b w:val="0"/>
          <w:sz w:val="28"/>
          <w:szCs w:val="28"/>
        </w:rPr>
      </w:pPr>
      <w:r w:rsidRPr="006A608C">
        <w:rPr>
          <w:b w:val="0"/>
          <w:sz w:val="28"/>
          <w:szCs w:val="28"/>
        </w:rPr>
        <w:t>Кредиты и авансы клиентам за 2006 –2007 года</w:t>
      </w:r>
    </w:p>
    <w:tbl>
      <w:tblPr>
        <w:tblW w:w="4786" w:type="pct"/>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6240"/>
        <w:gridCol w:w="1425"/>
        <w:gridCol w:w="1384"/>
      </w:tblGrid>
      <w:tr w:rsidR="00220704" w:rsidRPr="00F9497A" w:rsidTr="00F9497A">
        <w:trPr>
          <w:tblCellSpacing w:w="15" w:type="dxa"/>
          <w:jc w:val="center"/>
        </w:trPr>
        <w:tc>
          <w:tcPr>
            <w:tcW w:w="0" w:type="auto"/>
            <w:vAlign w:val="center"/>
          </w:tcPr>
          <w:p w:rsidR="00220704" w:rsidRPr="00F9497A" w:rsidRDefault="00220704" w:rsidP="00A426D6">
            <w:pPr>
              <w:spacing w:line="360" w:lineRule="auto"/>
              <w:rPr>
                <w:sz w:val="20"/>
                <w:szCs w:val="20"/>
                <w:lang w:val="uk-UA"/>
              </w:rPr>
            </w:pPr>
          </w:p>
        </w:tc>
        <w:tc>
          <w:tcPr>
            <w:tcW w:w="781" w:type="pct"/>
            <w:vAlign w:val="center"/>
          </w:tcPr>
          <w:p w:rsidR="00220704" w:rsidRPr="00F9497A" w:rsidRDefault="00220704" w:rsidP="00A426D6">
            <w:pPr>
              <w:spacing w:line="360" w:lineRule="auto"/>
              <w:rPr>
                <w:sz w:val="20"/>
                <w:szCs w:val="20"/>
                <w:lang w:val="uk-UA"/>
              </w:rPr>
            </w:pPr>
            <w:r w:rsidRPr="00F9497A">
              <w:rPr>
                <w:bCs/>
                <w:sz w:val="20"/>
                <w:szCs w:val="20"/>
                <w:lang w:val="uk-UA"/>
              </w:rPr>
              <w:t>2006</w:t>
            </w:r>
          </w:p>
        </w:tc>
        <w:tc>
          <w:tcPr>
            <w:tcW w:w="750" w:type="pct"/>
            <w:vAlign w:val="center"/>
          </w:tcPr>
          <w:p w:rsidR="00220704" w:rsidRPr="00F9497A" w:rsidRDefault="00220704" w:rsidP="00A426D6">
            <w:pPr>
              <w:spacing w:line="360" w:lineRule="auto"/>
              <w:rPr>
                <w:sz w:val="20"/>
                <w:szCs w:val="20"/>
                <w:lang w:val="uk-UA"/>
              </w:rPr>
            </w:pPr>
            <w:r w:rsidRPr="00F9497A">
              <w:rPr>
                <w:bCs/>
                <w:sz w:val="20"/>
                <w:szCs w:val="20"/>
                <w:lang w:val="uk-UA"/>
              </w:rPr>
              <w:t>2007</w:t>
            </w:r>
          </w:p>
        </w:tc>
      </w:tr>
      <w:tr w:rsidR="00220704" w:rsidRPr="00F9497A" w:rsidTr="00F9497A">
        <w:trPr>
          <w:tblCellSpacing w:w="15" w:type="dxa"/>
          <w:jc w:val="center"/>
        </w:trPr>
        <w:tc>
          <w:tcPr>
            <w:tcW w:w="0" w:type="auto"/>
            <w:vAlign w:val="center"/>
          </w:tcPr>
          <w:p w:rsidR="00220704" w:rsidRPr="00F9497A" w:rsidRDefault="00220704" w:rsidP="00A426D6">
            <w:pPr>
              <w:spacing w:line="360" w:lineRule="auto"/>
              <w:rPr>
                <w:sz w:val="20"/>
                <w:szCs w:val="20"/>
                <w:lang w:val="uk-UA"/>
              </w:rPr>
            </w:pPr>
            <w:r w:rsidRPr="00F9497A">
              <w:rPr>
                <w:sz w:val="20"/>
                <w:szCs w:val="20"/>
              </w:rPr>
              <w:t>Частные компании</w:t>
            </w:r>
            <w:r w:rsidRPr="00F9497A">
              <w:rPr>
                <w:sz w:val="20"/>
                <w:szCs w:val="20"/>
                <w:lang w:val="uk-UA"/>
              </w:rPr>
              <w:t xml:space="preserve"> </w:t>
            </w:r>
          </w:p>
        </w:tc>
        <w:tc>
          <w:tcPr>
            <w:tcW w:w="781" w:type="pct"/>
            <w:vAlign w:val="center"/>
          </w:tcPr>
          <w:p w:rsidR="00220704" w:rsidRPr="00F9497A" w:rsidRDefault="00220704" w:rsidP="00A426D6">
            <w:pPr>
              <w:spacing w:line="360" w:lineRule="auto"/>
              <w:rPr>
                <w:sz w:val="20"/>
                <w:szCs w:val="20"/>
                <w:lang w:val="uk-UA"/>
              </w:rPr>
            </w:pPr>
            <w:r w:rsidRPr="00F9497A">
              <w:rPr>
                <w:sz w:val="20"/>
                <w:szCs w:val="20"/>
                <w:lang w:val="uk-UA"/>
              </w:rPr>
              <w:t xml:space="preserve">445,116 </w:t>
            </w:r>
          </w:p>
        </w:tc>
        <w:tc>
          <w:tcPr>
            <w:tcW w:w="750" w:type="pct"/>
            <w:vAlign w:val="center"/>
          </w:tcPr>
          <w:p w:rsidR="00220704" w:rsidRPr="00F9497A" w:rsidRDefault="00220704" w:rsidP="00A426D6">
            <w:pPr>
              <w:spacing w:line="360" w:lineRule="auto"/>
              <w:rPr>
                <w:sz w:val="20"/>
                <w:szCs w:val="20"/>
                <w:lang w:val="uk-UA"/>
              </w:rPr>
            </w:pPr>
            <w:r w:rsidRPr="00F9497A">
              <w:rPr>
                <w:sz w:val="20"/>
                <w:szCs w:val="20"/>
                <w:lang w:val="uk-UA"/>
              </w:rPr>
              <w:t xml:space="preserve">862,901 </w:t>
            </w:r>
          </w:p>
        </w:tc>
      </w:tr>
      <w:tr w:rsidR="00220704" w:rsidRPr="00F9497A" w:rsidTr="00F9497A">
        <w:trPr>
          <w:tblCellSpacing w:w="15" w:type="dxa"/>
          <w:jc w:val="center"/>
        </w:trPr>
        <w:tc>
          <w:tcPr>
            <w:tcW w:w="0" w:type="auto"/>
            <w:vAlign w:val="center"/>
          </w:tcPr>
          <w:p w:rsidR="00220704" w:rsidRPr="00F9497A" w:rsidRDefault="00220704" w:rsidP="00A426D6">
            <w:pPr>
              <w:spacing w:line="360" w:lineRule="auto"/>
              <w:rPr>
                <w:sz w:val="20"/>
                <w:szCs w:val="20"/>
                <w:lang w:val="uk-UA"/>
              </w:rPr>
            </w:pPr>
            <w:r w:rsidRPr="00F9497A">
              <w:rPr>
                <w:sz w:val="20"/>
                <w:szCs w:val="20"/>
              </w:rPr>
              <w:t xml:space="preserve">Государственные предприятия </w:t>
            </w:r>
          </w:p>
        </w:tc>
        <w:tc>
          <w:tcPr>
            <w:tcW w:w="781" w:type="pct"/>
            <w:vAlign w:val="center"/>
          </w:tcPr>
          <w:p w:rsidR="00220704" w:rsidRPr="00F9497A" w:rsidRDefault="00220704" w:rsidP="00A426D6">
            <w:pPr>
              <w:spacing w:line="360" w:lineRule="auto"/>
              <w:rPr>
                <w:sz w:val="20"/>
                <w:szCs w:val="20"/>
                <w:lang w:val="uk-UA"/>
              </w:rPr>
            </w:pPr>
            <w:r w:rsidRPr="00F9497A">
              <w:rPr>
                <w:sz w:val="20"/>
                <w:szCs w:val="20"/>
                <w:lang w:val="uk-UA"/>
              </w:rPr>
              <w:t xml:space="preserve">1,161,765 </w:t>
            </w:r>
          </w:p>
        </w:tc>
        <w:tc>
          <w:tcPr>
            <w:tcW w:w="750" w:type="pct"/>
            <w:vAlign w:val="center"/>
          </w:tcPr>
          <w:p w:rsidR="00220704" w:rsidRPr="00F9497A" w:rsidRDefault="00220704" w:rsidP="00A426D6">
            <w:pPr>
              <w:spacing w:line="360" w:lineRule="auto"/>
              <w:rPr>
                <w:sz w:val="20"/>
                <w:szCs w:val="20"/>
                <w:lang w:val="uk-UA"/>
              </w:rPr>
            </w:pPr>
            <w:r w:rsidRPr="00F9497A">
              <w:rPr>
                <w:sz w:val="20"/>
                <w:szCs w:val="20"/>
                <w:lang w:val="uk-UA"/>
              </w:rPr>
              <w:t xml:space="preserve">343,890 </w:t>
            </w:r>
          </w:p>
        </w:tc>
      </w:tr>
      <w:tr w:rsidR="00220704" w:rsidRPr="00F9497A" w:rsidTr="00F9497A">
        <w:trPr>
          <w:tblCellSpacing w:w="15" w:type="dxa"/>
          <w:jc w:val="center"/>
        </w:trPr>
        <w:tc>
          <w:tcPr>
            <w:tcW w:w="0" w:type="auto"/>
            <w:vAlign w:val="center"/>
          </w:tcPr>
          <w:p w:rsidR="00220704" w:rsidRPr="00F9497A" w:rsidRDefault="00220704" w:rsidP="00A426D6">
            <w:pPr>
              <w:spacing w:line="360" w:lineRule="auto"/>
              <w:rPr>
                <w:sz w:val="20"/>
                <w:szCs w:val="20"/>
                <w:lang w:val="uk-UA"/>
              </w:rPr>
            </w:pPr>
            <w:r w:rsidRPr="00F9497A">
              <w:rPr>
                <w:sz w:val="20"/>
                <w:szCs w:val="20"/>
              </w:rPr>
              <w:t xml:space="preserve">Другие </w:t>
            </w:r>
          </w:p>
        </w:tc>
        <w:tc>
          <w:tcPr>
            <w:tcW w:w="781" w:type="pct"/>
            <w:vAlign w:val="center"/>
          </w:tcPr>
          <w:p w:rsidR="00220704" w:rsidRPr="00F9497A" w:rsidRDefault="00220704" w:rsidP="00A426D6">
            <w:pPr>
              <w:spacing w:line="360" w:lineRule="auto"/>
              <w:rPr>
                <w:sz w:val="20"/>
                <w:szCs w:val="20"/>
                <w:lang w:val="uk-UA"/>
              </w:rPr>
            </w:pPr>
            <w:r w:rsidRPr="00F9497A">
              <w:rPr>
                <w:sz w:val="20"/>
                <w:szCs w:val="20"/>
                <w:lang w:val="uk-UA"/>
              </w:rPr>
              <w:t xml:space="preserve">9,660 </w:t>
            </w:r>
          </w:p>
        </w:tc>
        <w:tc>
          <w:tcPr>
            <w:tcW w:w="750" w:type="pct"/>
            <w:vAlign w:val="center"/>
          </w:tcPr>
          <w:p w:rsidR="00220704" w:rsidRPr="00F9497A" w:rsidRDefault="00220704" w:rsidP="00A426D6">
            <w:pPr>
              <w:spacing w:line="360" w:lineRule="auto"/>
              <w:rPr>
                <w:sz w:val="20"/>
                <w:szCs w:val="20"/>
                <w:lang w:val="uk-UA"/>
              </w:rPr>
            </w:pPr>
            <w:r w:rsidRPr="00F9497A">
              <w:rPr>
                <w:sz w:val="20"/>
                <w:szCs w:val="20"/>
                <w:lang w:val="uk-UA"/>
              </w:rPr>
              <w:t xml:space="preserve">8,345 </w:t>
            </w:r>
          </w:p>
        </w:tc>
      </w:tr>
      <w:tr w:rsidR="00220704" w:rsidRPr="00F9497A" w:rsidTr="00F9497A">
        <w:trPr>
          <w:tblCellSpacing w:w="15" w:type="dxa"/>
          <w:jc w:val="center"/>
        </w:trPr>
        <w:tc>
          <w:tcPr>
            <w:tcW w:w="0" w:type="auto"/>
            <w:vAlign w:val="center"/>
          </w:tcPr>
          <w:p w:rsidR="00220704" w:rsidRPr="00F9497A" w:rsidRDefault="00220704" w:rsidP="00A426D6">
            <w:pPr>
              <w:spacing w:line="360" w:lineRule="auto"/>
              <w:rPr>
                <w:sz w:val="20"/>
                <w:szCs w:val="20"/>
                <w:lang w:val="uk-UA"/>
              </w:rPr>
            </w:pPr>
            <w:r w:rsidRPr="00F9497A">
              <w:rPr>
                <w:sz w:val="20"/>
                <w:szCs w:val="20"/>
              </w:rPr>
              <w:t xml:space="preserve">Минус резерв под возможные убытки по выданным кредитам </w:t>
            </w:r>
          </w:p>
        </w:tc>
        <w:tc>
          <w:tcPr>
            <w:tcW w:w="781" w:type="pct"/>
            <w:vAlign w:val="center"/>
          </w:tcPr>
          <w:p w:rsidR="00220704" w:rsidRPr="00F9497A" w:rsidRDefault="00220704" w:rsidP="00A426D6">
            <w:pPr>
              <w:spacing w:line="360" w:lineRule="auto"/>
              <w:rPr>
                <w:sz w:val="20"/>
                <w:szCs w:val="20"/>
                <w:lang w:val="uk-UA"/>
              </w:rPr>
            </w:pPr>
            <w:r w:rsidRPr="00F9497A">
              <w:rPr>
                <w:sz w:val="20"/>
                <w:szCs w:val="20"/>
                <w:lang w:val="uk-UA"/>
              </w:rPr>
              <w:t xml:space="preserve">(480,233) </w:t>
            </w:r>
          </w:p>
        </w:tc>
        <w:tc>
          <w:tcPr>
            <w:tcW w:w="750" w:type="pct"/>
            <w:vAlign w:val="center"/>
          </w:tcPr>
          <w:p w:rsidR="00220704" w:rsidRPr="00F9497A" w:rsidRDefault="00220704" w:rsidP="00A426D6">
            <w:pPr>
              <w:spacing w:line="360" w:lineRule="auto"/>
              <w:rPr>
                <w:sz w:val="20"/>
                <w:szCs w:val="20"/>
                <w:lang w:val="uk-UA"/>
              </w:rPr>
            </w:pPr>
            <w:r w:rsidRPr="00F9497A">
              <w:rPr>
                <w:sz w:val="20"/>
                <w:szCs w:val="20"/>
                <w:lang w:val="uk-UA"/>
              </w:rPr>
              <w:t xml:space="preserve">(447,416) </w:t>
            </w:r>
          </w:p>
        </w:tc>
      </w:tr>
      <w:tr w:rsidR="00220704" w:rsidRPr="00F9497A" w:rsidTr="00F9497A">
        <w:trPr>
          <w:tblCellSpacing w:w="15" w:type="dxa"/>
          <w:jc w:val="center"/>
        </w:trPr>
        <w:tc>
          <w:tcPr>
            <w:tcW w:w="0" w:type="auto"/>
            <w:vAlign w:val="center"/>
          </w:tcPr>
          <w:p w:rsidR="00220704" w:rsidRPr="00F9497A" w:rsidRDefault="00220704" w:rsidP="00A426D6">
            <w:pPr>
              <w:spacing w:line="360" w:lineRule="auto"/>
              <w:rPr>
                <w:sz w:val="20"/>
                <w:szCs w:val="20"/>
                <w:lang w:val="uk-UA"/>
              </w:rPr>
            </w:pPr>
            <w:r w:rsidRPr="00F9497A">
              <w:rPr>
                <w:bCs/>
                <w:sz w:val="20"/>
                <w:szCs w:val="20"/>
              </w:rPr>
              <w:t xml:space="preserve">Кредиты и авансы клиентам, нетто </w:t>
            </w:r>
          </w:p>
        </w:tc>
        <w:tc>
          <w:tcPr>
            <w:tcW w:w="781" w:type="pct"/>
            <w:vAlign w:val="center"/>
          </w:tcPr>
          <w:p w:rsidR="00220704" w:rsidRPr="00F9497A" w:rsidRDefault="00220704" w:rsidP="00A426D6">
            <w:pPr>
              <w:spacing w:line="360" w:lineRule="auto"/>
              <w:rPr>
                <w:sz w:val="20"/>
                <w:szCs w:val="20"/>
                <w:lang w:val="uk-UA"/>
              </w:rPr>
            </w:pPr>
            <w:r w:rsidRPr="00F9497A">
              <w:rPr>
                <w:bCs/>
                <w:sz w:val="20"/>
                <w:szCs w:val="20"/>
                <w:lang w:val="uk-UA"/>
              </w:rPr>
              <w:t>1,136,308</w:t>
            </w:r>
            <w:r w:rsidRPr="00F9497A">
              <w:rPr>
                <w:sz w:val="20"/>
                <w:szCs w:val="20"/>
                <w:lang w:val="uk-UA"/>
              </w:rPr>
              <w:t xml:space="preserve"> </w:t>
            </w:r>
          </w:p>
        </w:tc>
        <w:tc>
          <w:tcPr>
            <w:tcW w:w="750" w:type="pct"/>
            <w:vAlign w:val="center"/>
          </w:tcPr>
          <w:p w:rsidR="00220704" w:rsidRPr="00F9497A" w:rsidRDefault="00220704" w:rsidP="00A426D6">
            <w:pPr>
              <w:spacing w:line="360" w:lineRule="auto"/>
              <w:rPr>
                <w:sz w:val="20"/>
                <w:szCs w:val="20"/>
                <w:lang w:val="uk-UA"/>
              </w:rPr>
            </w:pPr>
            <w:r w:rsidRPr="00F9497A">
              <w:rPr>
                <w:bCs/>
                <w:sz w:val="20"/>
                <w:szCs w:val="20"/>
                <w:lang w:val="uk-UA"/>
              </w:rPr>
              <w:t>767,720</w:t>
            </w:r>
            <w:r w:rsidRPr="00F9497A">
              <w:rPr>
                <w:sz w:val="20"/>
                <w:szCs w:val="20"/>
                <w:lang w:val="uk-UA"/>
              </w:rPr>
              <w:t xml:space="preserve"> </w:t>
            </w:r>
          </w:p>
        </w:tc>
      </w:tr>
    </w:tbl>
    <w:p w:rsidR="00220704" w:rsidRPr="006A608C" w:rsidRDefault="00220704" w:rsidP="00A426D6">
      <w:pPr>
        <w:pStyle w:val="2"/>
        <w:spacing w:after="0" w:line="360" w:lineRule="auto"/>
        <w:ind w:left="0" w:firstLine="709"/>
        <w:jc w:val="both"/>
      </w:pPr>
    </w:p>
    <w:p w:rsidR="00220704" w:rsidRPr="00F9497A" w:rsidRDefault="00220704" w:rsidP="00A426D6">
      <w:pPr>
        <w:pStyle w:val="2"/>
        <w:spacing w:after="0" w:line="360" w:lineRule="auto"/>
        <w:ind w:left="0" w:firstLine="709"/>
        <w:jc w:val="both"/>
      </w:pPr>
      <w:r w:rsidRPr="006A608C">
        <w:t>Кредиты и авансы по различным отраслям хозяйства представлены в таблице 2.4.6</w:t>
      </w:r>
    </w:p>
    <w:p w:rsidR="00220704" w:rsidRPr="006A608C" w:rsidRDefault="00F9497A" w:rsidP="00A426D6">
      <w:pPr>
        <w:pStyle w:val="2"/>
        <w:spacing w:after="0" w:line="360" w:lineRule="auto"/>
        <w:ind w:left="0" w:firstLine="709"/>
        <w:jc w:val="both"/>
      </w:pPr>
      <w:r>
        <w:br w:type="page"/>
      </w:r>
      <w:r w:rsidR="00220704" w:rsidRPr="006A608C">
        <w:t>Табл. 2.4.6</w:t>
      </w:r>
    </w:p>
    <w:p w:rsidR="00220704" w:rsidRPr="006A608C" w:rsidRDefault="00220704" w:rsidP="00A426D6">
      <w:pPr>
        <w:pStyle w:val="2"/>
        <w:spacing w:after="0" w:line="360" w:lineRule="auto"/>
        <w:ind w:left="0" w:firstLine="709"/>
        <w:jc w:val="both"/>
      </w:pPr>
      <w:r w:rsidRPr="006A608C">
        <w:t>Структура кредитного портфеля ОАО «Тюменьэнергобанк»</w:t>
      </w:r>
      <w:r w:rsidR="006A608C">
        <w:t xml:space="preserve"> </w:t>
      </w:r>
      <w:r w:rsidRPr="006A608C">
        <w:t>по различным отраслям хозяйства</w:t>
      </w:r>
    </w:p>
    <w:tbl>
      <w:tblPr>
        <w:tblW w:w="5065" w:type="pct"/>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7244"/>
        <w:gridCol w:w="1165"/>
        <w:gridCol w:w="1168"/>
      </w:tblGrid>
      <w:tr w:rsidR="00220704" w:rsidRPr="00F9497A" w:rsidTr="00F9497A">
        <w:trPr>
          <w:tblCellSpacing w:w="15" w:type="dxa"/>
          <w:jc w:val="center"/>
        </w:trPr>
        <w:tc>
          <w:tcPr>
            <w:tcW w:w="0" w:type="auto"/>
            <w:vAlign w:val="center"/>
          </w:tcPr>
          <w:p w:rsidR="00220704" w:rsidRPr="00F9497A" w:rsidRDefault="00220704" w:rsidP="00A426D6">
            <w:pPr>
              <w:spacing w:line="360" w:lineRule="auto"/>
              <w:rPr>
                <w:sz w:val="20"/>
                <w:szCs w:val="20"/>
                <w:lang w:val="uk-UA"/>
              </w:rPr>
            </w:pPr>
          </w:p>
        </w:tc>
        <w:tc>
          <w:tcPr>
            <w:tcW w:w="0" w:type="auto"/>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bCs/>
                <w:sz w:val="20"/>
                <w:szCs w:val="20"/>
                <w:lang w:val="uk-UA"/>
              </w:rPr>
              <w:t>2006</w:t>
            </w:r>
          </w:p>
        </w:tc>
        <w:tc>
          <w:tcPr>
            <w:tcW w:w="594" w:type="pct"/>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bCs/>
                <w:sz w:val="20"/>
                <w:szCs w:val="20"/>
                <w:lang w:val="uk-UA"/>
              </w:rPr>
              <w:t>2007</w:t>
            </w:r>
          </w:p>
        </w:tc>
      </w:tr>
      <w:tr w:rsidR="00220704" w:rsidRPr="00F9497A" w:rsidTr="00F9497A">
        <w:trPr>
          <w:tblCellSpacing w:w="15" w:type="dxa"/>
          <w:jc w:val="center"/>
        </w:trPr>
        <w:tc>
          <w:tcPr>
            <w:tcW w:w="0" w:type="auto"/>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rPr>
              <w:t xml:space="preserve">Производство </w:t>
            </w:r>
          </w:p>
        </w:tc>
        <w:tc>
          <w:tcPr>
            <w:tcW w:w="0" w:type="auto"/>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lang w:val="uk-UA"/>
              </w:rPr>
              <w:t>482,716</w:t>
            </w:r>
          </w:p>
        </w:tc>
        <w:tc>
          <w:tcPr>
            <w:tcW w:w="594" w:type="pct"/>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lang w:val="uk-UA"/>
              </w:rPr>
              <w:t>223,266</w:t>
            </w:r>
          </w:p>
        </w:tc>
      </w:tr>
      <w:tr w:rsidR="00220704" w:rsidRPr="00F9497A" w:rsidTr="00F9497A">
        <w:trPr>
          <w:tblCellSpacing w:w="15" w:type="dxa"/>
          <w:jc w:val="center"/>
        </w:trPr>
        <w:tc>
          <w:tcPr>
            <w:tcW w:w="0" w:type="auto"/>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rPr>
              <w:t>Сельское</w:t>
            </w:r>
            <w:r w:rsidRPr="00F9497A">
              <w:rPr>
                <w:sz w:val="20"/>
                <w:szCs w:val="20"/>
                <w:lang w:val="uk-UA"/>
              </w:rPr>
              <w:t xml:space="preserve"> хазяйство </w:t>
            </w:r>
          </w:p>
        </w:tc>
        <w:tc>
          <w:tcPr>
            <w:tcW w:w="0" w:type="auto"/>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lang w:val="uk-UA"/>
              </w:rPr>
              <w:t xml:space="preserve">194,694 </w:t>
            </w:r>
          </w:p>
        </w:tc>
        <w:tc>
          <w:tcPr>
            <w:tcW w:w="594" w:type="pct"/>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lang w:val="uk-UA"/>
              </w:rPr>
              <w:t xml:space="preserve">82,507 </w:t>
            </w:r>
          </w:p>
        </w:tc>
      </w:tr>
      <w:tr w:rsidR="00220704" w:rsidRPr="00F9497A" w:rsidTr="00F9497A">
        <w:trPr>
          <w:tblCellSpacing w:w="15" w:type="dxa"/>
          <w:jc w:val="center"/>
        </w:trPr>
        <w:tc>
          <w:tcPr>
            <w:tcW w:w="0" w:type="auto"/>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rPr>
              <w:t>Торговые</w:t>
            </w:r>
            <w:r w:rsidR="006A608C" w:rsidRPr="00F9497A">
              <w:rPr>
                <w:sz w:val="20"/>
                <w:szCs w:val="20"/>
                <w:lang w:val="uk-UA"/>
              </w:rPr>
              <w:t xml:space="preserve"> </w:t>
            </w:r>
            <w:r w:rsidRPr="00F9497A">
              <w:rPr>
                <w:sz w:val="20"/>
                <w:szCs w:val="20"/>
              </w:rPr>
              <w:t>предприятия</w:t>
            </w:r>
            <w:r w:rsidRPr="00F9497A">
              <w:rPr>
                <w:sz w:val="20"/>
                <w:szCs w:val="20"/>
                <w:lang w:val="uk-UA"/>
              </w:rPr>
              <w:t xml:space="preserve"> </w:t>
            </w:r>
          </w:p>
        </w:tc>
        <w:tc>
          <w:tcPr>
            <w:tcW w:w="0" w:type="auto"/>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lang w:val="uk-UA"/>
              </w:rPr>
              <w:t xml:space="preserve">7,917 </w:t>
            </w:r>
          </w:p>
        </w:tc>
        <w:tc>
          <w:tcPr>
            <w:tcW w:w="594" w:type="pct"/>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lang w:val="uk-UA"/>
              </w:rPr>
              <w:t xml:space="preserve">41,041 </w:t>
            </w:r>
          </w:p>
        </w:tc>
      </w:tr>
      <w:tr w:rsidR="00220704" w:rsidRPr="00F9497A" w:rsidTr="00F9497A">
        <w:trPr>
          <w:tblCellSpacing w:w="15" w:type="dxa"/>
          <w:jc w:val="center"/>
        </w:trPr>
        <w:tc>
          <w:tcPr>
            <w:tcW w:w="0" w:type="auto"/>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rPr>
              <w:t>Строительство</w:t>
            </w:r>
            <w:r w:rsidRPr="00F9497A">
              <w:rPr>
                <w:sz w:val="20"/>
                <w:szCs w:val="20"/>
                <w:lang w:val="uk-UA"/>
              </w:rPr>
              <w:t xml:space="preserve"> </w:t>
            </w:r>
            <w:r w:rsidRPr="00F9497A">
              <w:rPr>
                <w:sz w:val="20"/>
                <w:szCs w:val="20"/>
              </w:rPr>
              <w:t>недвижимости</w:t>
            </w:r>
            <w:r w:rsidRPr="00F9497A">
              <w:rPr>
                <w:sz w:val="20"/>
                <w:szCs w:val="20"/>
                <w:lang w:val="uk-UA"/>
              </w:rPr>
              <w:t xml:space="preserve"> </w:t>
            </w:r>
          </w:p>
        </w:tc>
        <w:tc>
          <w:tcPr>
            <w:tcW w:w="0" w:type="auto"/>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lang w:val="uk-UA"/>
              </w:rPr>
              <w:t>816,995</w:t>
            </w:r>
          </w:p>
        </w:tc>
        <w:tc>
          <w:tcPr>
            <w:tcW w:w="594" w:type="pct"/>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lang w:val="uk-UA"/>
              </w:rPr>
              <w:t xml:space="preserve"> 720,245</w:t>
            </w:r>
          </w:p>
        </w:tc>
      </w:tr>
      <w:tr w:rsidR="00220704" w:rsidRPr="00F9497A" w:rsidTr="00F9497A">
        <w:trPr>
          <w:tblCellSpacing w:w="15" w:type="dxa"/>
          <w:jc w:val="center"/>
        </w:trPr>
        <w:tc>
          <w:tcPr>
            <w:tcW w:w="0" w:type="auto"/>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rPr>
              <w:t>Другие</w:t>
            </w:r>
            <w:r w:rsidRPr="00F9497A">
              <w:rPr>
                <w:sz w:val="20"/>
                <w:szCs w:val="20"/>
                <w:lang w:val="uk-UA"/>
              </w:rPr>
              <w:t xml:space="preserve"> </w:t>
            </w:r>
          </w:p>
        </w:tc>
        <w:tc>
          <w:tcPr>
            <w:tcW w:w="0" w:type="auto"/>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lang w:val="uk-UA"/>
              </w:rPr>
              <w:t xml:space="preserve">114,219 </w:t>
            </w:r>
          </w:p>
        </w:tc>
        <w:tc>
          <w:tcPr>
            <w:tcW w:w="594" w:type="pct"/>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lang w:val="uk-UA"/>
              </w:rPr>
              <w:t xml:space="preserve">148,077 </w:t>
            </w:r>
          </w:p>
        </w:tc>
      </w:tr>
      <w:tr w:rsidR="00220704" w:rsidRPr="00F9497A" w:rsidTr="00F9497A">
        <w:trPr>
          <w:tblCellSpacing w:w="15" w:type="dxa"/>
          <w:jc w:val="center"/>
        </w:trPr>
        <w:tc>
          <w:tcPr>
            <w:tcW w:w="0" w:type="auto"/>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rPr>
              <w:t>Минус резерв под возможные убытки по выданным кредитам</w:t>
            </w:r>
            <w:r w:rsidR="006A608C" w:rsidRPr="00F9497A">
              <w:rPr>
                <w:sz w:val="20"/>
                <w:szCs w:val="20"/>
              </w:rPr>
              <w:t xml:space="preserve"> </w:t>
            </w:r>
          </w:p>
        </w:tc>
        <w:tc>
          <w:tcPr>
            <w:tcW w:w="0" w:type="auto"/>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lang w:val="uk-UA"/>
              </w:rPr>
              <w:t xml:space="preserve">(480,233) </w:t>
            </w:r>
          </w:p>
        </w:tc>
        <w:tc>
          <w:tcPr>
            <w:tcW w:w="594" w:type="pct"/>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lang w:val="uk-UA"/>
              </w:rPr>
              <w:t xml:space="preserve">(447,416) </w:t>
            </w:r>
          </w:p>
        </w:tc>
      </w:tr>
      <w:tr w:rsidR="00220704" w:rsidRPr="00F9497A" w:rsidTr="00F9497A">
        <w:trPr>
          <w:tblCellSpacing w:w="15" w:type="dxa"/>
          <w:jc w:val="center"/>
        </w:trPr>
        <w:tc>
          <w:tcPr>
            <w:tcW w:w="0" w:type="auto"/>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bCs/>
                <w:sz w:val="20"/>
                <w:szCs w:val="20"/>
              </w:rPr>
              <w:t>Кредиты</w:t>
            </w:r>
            <w:r w:rsidRPr="00F9497A">
              <w:rPr>
                <w:bCs/>
                <w:sz w:val="20"/>
                <w:szCs w:val="20"/>
                <w:lang w:val="uk-UA"/>
              </w:rPr>
              <w:t xml:space="preserve"> и </w:t>
            </w:r>
            <w:r w:rsidRPr="00F9497A">
              <w:rPr>
                <w:bCs/>
                <w:sz w:val="20"/>
                <w:szCs w:val="20"/>
              </w:rPr>
              <w:t>авансы</w:t>
            </w:r>
            <w:r w:rsidRPr="00F9497A">
              <w:rPr>
                <w:bCs/>
                <w:sz w:val="20"/>
                <w:szCs w:val="20"/>
                <w:lang w:val="uk-UA"/>
              </w:rPr>
              <w:t xml:space="preserve"> </w:t>
            </w:r>
            <w:r w:rsidRPr="00F9497A">
              <w:rPr>
                <w:bCs/>
                <w:sz w:val="20"/>
                <w:szCs w:val="20"/>
              </w:rPr>
              <w:t>клиентам</w:t>
            </w:r>
            <w:r w:rsidRPr="00F9497A">
              <w:rPr>
                <w:bCs/>
                <w:sz w:val="20"/>
                <w:szCs w:val="20"/>
                <w:lang w:val="uk-UA"/>
              </w:rPr>
              <w:t>, нетто</w:t>
            </w:r>
            <w:r w:rsidRPr="00F9497A">
              <w:rPr>
                <w:sz w:val="20"/>
                <w:szCs w:val="20"/>
                <w:lang w:val="uk-UA"/>
              </w:rPr>
              <w:t xml:space="preserve"> </w:t>
            </w:r>
          </w:p>
        </w:tc>
        <w:tc>
          <w:tcPr>
            <w:tcW w:w="0" w:type="auto"/>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bCs/>
                <w:sz w:val="20"/>
                <w:szCs w:val="20"/>
                <w:lang w:val="uk-UA"/>
              </w:rPr>
              <w:t>1,136,308</w:t>
            </w:r>
            <w:r w:rsidRPr="00F9497A">
              <w:rPr>
                <w:sz w:val="20"/>
                <w:szCs w:val="20"/>
                <w:lang w:val="uk-UA"/>
              </w:rPr>
              <w:t xml:space="preserve"> </w:t>
            </w:r>
          </w:p>
        </w:tc>
        <w:tc>
          <w:tcPr>
            <w:tcW w:w="594" w:type="pct"/>
            <w:vAlign w:val="center"/>
          </w:tcPr>
          <w:p w:rsidR="00220704" w:rsidRPr="00F9497A" w:rsidRDefault="00220704" w:rsidP="00A426D6">
            <w:pPr>
              <w:pStyle w:val="ad"/>
              <w:spacing w:before="0" w:beforeAutospacing="0" w:after="0" w:afterAutospacing="0" w:line="360" w:lineRule="auto"/>
              <w:rPr>
                <w:sz w:val="20"/>
                <w:szCs w:val="20"/>
                <w:lang w:val="uk-UA"/>
              </w:rPr>
            </w:pPr>
            <w:r w:rsidRPr="00F9497A">
              <w:rPr>
                <w:sz w:val="20"/>
                <w:szCs w:val="20"/>
                <w:lang w:val="uk-UA"/>
              </w:rPr>
              <w:t xml:space="preserve">767,720 </w:t>
            </w:r>
          </w:p>
        </w:tc>
      </w:tr>
    </w:tbl>
    <w:p w:rsidR="00220704" w:rsidRPr="006A608C" w:rsidRDefault="00220704" w:rsidP="00A426D6">
      <w:pPr>
        <w:pStyle w:val="ad"/>
        <w:spacing w:before="0" w:beforeAutospacing="0" w:after="0" w:afterAutospacing="0" w:line="360" w:lineRule="auto"/>
        <w:ind w:firstLine="709"/>
        <w:jc w:val="both"/>
        <w:rPr>
          <w:sz w:val="28"/>
          <w:szCs w:val="28"/>
        </w:rPr>
      </w:pPr>
    </w:p>
    <w:p w:rsidR="007B6DDE" w:rsidRPr="006A608C" w:rsidRDefault="00214502" w:rsidP="00A426D6">
      <w:pPr>
        <w:spacing w:line="360" w:lineRule="auto"/>
        <w:ind w:firstLine="709"/>
        <w:jc w:val="both"/>
      </w:pPr>
      <w:r w:rsidRPr="006A608C">
        <w:t>ОАО «Тюменьэнергобанк» включен в состав участников торгов Фондовой Биржи Московской межбанковской валютной биржи. Это решение было принято 31 января 2007 года на Совете Директоров ЗАО «Фондовая биржа ФБ ММВБ». ОАО «Тюменьэнергобанк» присвоен регистрационный номер участника торгов ФБ ММВБ 620. Теперь значительно упрощается процедура доступа к операциям на открытом рынке. Информационно-техническое обеспечение, предоставляемое организаторами торговли, позволяет клиентам ОАО «Тюменьэнергобанка» наблюдать ход торгов в режиме реального времени и самостоятельно принимать решение о покупке или продаже ценных бумаг. По мнению руководства Банка, это следующий шаг в развитии данного финансово-кредитного учреждения.</w:t>
      </w:r>
    </w:p>
    <w:p w:rsidR="005D4100" w:rsidRPr="006A608C" w:rsidRDefault="00422865" w:rsidP="00A426D6">
      <w:pPr>
        <w:spacing w:line="360" w:lineRule="auto"/>
        <w:ind w:firstLine="709"/>
        <w:jc w:val="both"/>
      </w:pPr>
      <w:r w:rsidRPr="006A608C">
        <w:t>Подводя итоги, необходимо отметить, что достигнутые в 2007 году успехи, открывают перед ОАО «Тюменьэнергобанк» новые горизонты для дальнейшего развития.</w:t>
      </w:r>
    </w:p>
    <w:p w:rsidR="00C43EAF" w:rsidRPr="00F9497A" w:rsidRDefault="00F9497A" w:rsidP="00A426D6">
      <w:pPr>
        <w:spacing w:line="360" w:lineRule="auto"/>
        <w:ind w:left="709"/>
        <w:jc w:val="center"/>
        <w:rPr>
          <w:b/>
          <w:caps/>
        </w:rPr>
      </w:pPr>
      <w:r w:rsidRPr="00F9497A">
        <w:rPr>
          <w:caps/>
        </w:rPr>
        <w:br w:type="page"/>
      </w:r>
      <w:r w:rsidR="00C43EAF" w:rsidRPr="00F9497A">
        <w:rPr>
          <w:b/>
          <w:caps/>
        </w:rPr>
        <w:t>Перспективы и пути совершенствования механизма денежно-кредитной политики</w:t>
      </w:r>
    </w:p>
    <w:p w:rsidR="00FB3E0D" w:rsidRPr="00F9497A" w:rsidRDefault="00FB3E0D" w:rsidP="00A426D6">
      <w:pPr>
        <w:spacing w:line="360" w:lineRule="auto"/>
        <w:ind w:left="709"/>
        <w:jc w:val="center"/>
        <w:rPr>
          <w:b/>
        </w:rPr>
      </w:pPr>
    </w:p>
    <w:p w:rsidR="00C43EAF" w:rsidRPr="00F9497A" w:rsidRDefault="00B17A8D" w:rsidP="00A426D6">
      <w:pPr>
        <w:spacing w:line="360" w:lineRule="auto"/>
        <w:ind w:left="709"/>
        <w:jc w:val="center"/>
        <w:rPr>
          <w:b/>
        </w:rPr>
      </w:pPr>
      <w:r w:rsidRPr="00F9497A">
        <w:rPr>
          <w:b/>
        </w:rPr>
        <w:t xml:space="preserve">Варианты </w:t>
      </w:r>
      <w:r w:rsidR="00FB3E0D" w:rsidRPr="00F9497A">
        <w:rPr>
          <w:b/>
        </w:rPr>
        <w:t>макроэкономического развития</w:t>
      </w:r>
    </w:p>
    <w:p w:rsidR="00FB3E0D" w:rsidRPr="006A608C" w:rsidRDefault="00FB3E0D" w:rsidP="00A426D6">
      <w:pPr>
        <w:spacing w:line="360" w:lineRule="auto"/>
        <w:ind w:firstLine="709"/>
        <w:jc w:val="both"/>
      </w:pPr>
    </w:p>
    <w:p w:rsidR="00A10821" w:rsidRPr="006A608C" w:rsidRDefault="00FC4505" w:rsidP="00A426D6">
      <w:pPr>
        <w:spacing w:line="360" w:lineRule="auto"/>
        <w:ind w:firstLine="709"/>
        <w:jc w:val="both"/>
      </w:pPr>
      <w:r w:rsidRPr="006A608C">
        <w:t>В 2008 году и в период до 2010 года предполагается сохранение благоприятных внешних условий функционирования российской экономики. Международные финансовые институты (МВФ, Всемирный банк) прогнозируют сохранение в 2008 году темпов роста мировой экономики на уровне 2007 года. В перспективе до 2010 года прогнозируется продолжение экономического роста в мире темпами, близкими к среднегодовому показателю в 2004 – 2008 годах. При этом не исключается возможность замедления роста мирового ВВП.</w:t>
      </w:r>
    </w:p>
    <w:p w:rsidR="00A10821" w:rsidRPr="006A608C" w:rsidRDefault="00A10821" w:rsidP="00A426D6">
      <w:pPr>
        <w:spacing w:line="360" w:lineRule="auto"/>
        <w:ind w:firstLine="709"/>
        <w:jc w:val="both"/>
      </w:pPr>
      <w:r w:rsidRPr="006A608C">
        <w:t>В 2008 году вероятна стабилизация краткосрочных процентных ставок в зоне евро и снижение среднегодового уровня процентных ставок в США. Предполагаемые соотношения между процентными ставками в России и зарубежных странах при проведении Банком России гибкой процентной политики обеспечат условия для сбалансированности трансграничных потоков капитала.</w:t>
      </w:r>
    </w:p>
    <w:p w:rsidR="00A10821" w:rsidRPr="006A608C" w:rsidRDefault="00A10821" w:rsidP="00A426D6">
      <w:pPr>
        <w:spacing w:line="360" w:lineRule="auto"/>
        <w:ind w:firstLine="709"/>
        <w:jc w:val="both"/>
      </w:pPr>
      <w:r w:rsidRPr="006A608C">
        <w:t>Банк России рассмотрел три варианта условий проведения денежно-кредитной политики в 2008—2010 годах, которые соответствуют прогнозам Правительства Российской Федерации. Первые два варианта предполагают ухудшение ценовой внешнеэкономической конъюнктуры в среднесрочном периоде, третий — ее улучшение.</w:t>
      </w:r>
      <w:r w:rsidR="006A608C">
        <w:t xml:space="preserve"> </w:t>
      </w:r>
    </w:p>
    <w:p w:rsidR="00A10821" w:rsidRPr="006A608C" w:rsidRDefault="00A10821" w:rsidP="00A426D6">
      <w:pPr>
        <w:spacing w:line="360" w:lineRule="auto"/>
        <w:ind w:firstLine="709"/>
        <w:jc w:val="both"/>
      </w:pPr>
      <w:r w:rsidRPr="006A608C">
        <w:t>В рамках первого варианта развития российской экономики в 2008 году предусматривается существенное снижение цены на нефть — до 44 долларов США за баррель. В этих условиях ожидается сокращение по сравнению с 2007 годом экспорта товаров и услуг и рост их импорта.</w:t>
      </w:r>
    </w:p>
    <w:p w:rsidR="00A10821" w:rsidRPr="006A608C" w:rsidRDefault="00A10821" w:rsidP="00A426D6">
      <w:pPr>
        <w:spacing w:line="360" w:lineRule="auto"/>
        <w:ind w:firstLine="709"/>
        <w:jc w:val="both"/>
      </w:pPr>
      <w:r w:rsidRPr="006A608C">
        <w:t>Несмотря на ухудшение внешних условий функционирования российской экономики, они не будут препятствовать ее дальнейшему развитию. Реальные располагаемые денежные доходы населения в</w:t>
      </w:r>
      <w:r w:rsidR="00F9497A" w:rsidRPr="00F9497A">
        <w:t xml:space="preserve"> </w:t>
      </w:r>
      <w:r w:rsidRPr="006A608C">
        <w:t>2008 году могут увеличиться на 7,2%. Относительное снижение доходов от экспорта скажется на инвестиционной активности. Темп прироста инвестиций в основной капитал может составить примерно</w:t>
      </w:r>
      <w:r w:rsidR="00F9497A">
        <w:rPr>
          <w:lang w:val="en-US"/>
        </w:rPr>
        <w:t xml:space="preserve"> </w:t>
      </w:r>
      <w:r w:rsidRPr="006A608C">
        <w:t>10%. Темп прироста ВВП в 2008 году ожидается на уровне 5,4%.</w:t>
      </w:r>
    </w:p>
    <w:p w:rsidR="00A10821" w:rsidRPr="006A608C" w:rsidRDefault="00A10821" w:rsidP="00A426D6">
      <w:pPr>
        <w:spacing w:line="360" w:lineRule="auto"/>
        <w:ind w:firstLine="709"/>
        <w:jc w:val="both"/>
      </w:pPr>
      <w:r w:rsidRPr="006A608C">
        <w:t>В рамках второго варианта рассматривается прогноз, положенный в основу проекта федерального бюджета. Исходными условиями для формирования этого варианта является предположение о снижении в 2008 году цены на российскую нефть до 53 долларов США за баррель.</w:t>
      </w:r>
    </w:p>
    <w:p w:rsidR="00A10821" w:rsidRPr="006A608C" w:rsidRDefault="00A10821" w:rsidP="00A426D6">
      <w:pPr>
        <w:spacing w:line="360" w:lineRule="auto"/>
        <w:ind w:firstLine="709"/>
        <w:jc w:val="both"/>
      </w:pPr>
      <w:r w:rsidRPr="006A608C">
        <w:t>По сравнению с 2007 годом увеличение экспорта товаров и услуг по этому варианту будет небольшим. Активное сальдо счета текущих операций платежного баланса в 2008 году сократится. Прирост резервных активов замедлится.</w:t>
      </w:r>
    </w:p>
    <w:p w:rsidR="00A10821" w:rsidRPr="006A608C" w:rsidRDefault="00A10821" w:rsidP="00A426D6">
      <w:pPr>
        <w:spacing w:line="360" w:lineRule="auto"/>
        <w:ind w:firstLine="709"/>
        <w:jc w:val="both"/>
      </w:pPr>
      <w:r w:rsidRPr="006A608C">
        <w:t>Активизация структурных сдвигов за счет комплекса мер, предусматривающих, в частности, улучшение инвестиционного климата, будет способствовать активному развитию российской экономики. Согласно этому варианту развития вследствие ускоренного роста инвестиций в инновационный сектор экономики повысятся эффективность и конкурентоспособность отечественного производства.</w:t>
      </w:r>
    </w:p>
    <w:p w:rsidR="00A10821" w:rsidRPr="006A608C" w:rsidRDefault="00A10821" w:rsidP="00A426D6">
      <w:pPr>
        <w:spacing w:line="360" w:lineRule="auto"/>
        <w:ind w:firstLine="709"/>
        <w:jc w:val="both"/>
      </w:pPr>
      <w:r w:rsidRPr="006A608C">
        <w:t>В 2008 году ожидаются высокие темпы роста внутреннего спроса. Прирост инвестиций в основной капитал может составить 11,9%, реальных располагаемых денежных доходов населения — 9,1%. Темпы экономического роста в этом случае составят 6,1%.</w:t>
      </w:r>
    </w:p>
    <w:p w:rsidR="00A10821" w:rsidRPr="006A608C" w:rsidRDefault="00A10821" w:rsidP="00A426D6">
      <w:pPr>
        <w:spacing w:line="360" w:lineRule="auto"/>
        <w:ind w:firstLine="709"/>
        <w:jc w:val="both"/>
      </w:pPr>
      <w:r w:rsidRPr="006A608C">
        <w:t>В рамках третьего варианта предполагается, что цена на российскую нефть в 2008 году повысится до 62 долларов США за баррель.</w:t>
      </w:r>
    </w:p>
    <w:p w:rsidR="00B67DFB" w:rsidRPr="006A608C" w:rsidRDefault="00A10821" w:rsidP="00A426D6">
      <w:pPr>
        <w:spacing w:line="360" w:lineRule="auto"/>
        <w:ind w:firstLine="709"/>
        <w:jc w:val="both"/>
      </w:pPr>
      <w:r w:rsidRPr="006A608C">
        <w:t>Несмотря на улучшение ценовой внешнеэкономической конъюнктуры, активное сальдо счета текущих операций платежного баланса сократится. Прирост валютных резервов будет меньше, чем в 2007 году. Темп прироста реальных располагаемых денежных доходов населения в 2008 году может составить 10,6%. Инвестиции в основной капитал могут увеличиться на 13,2%. В этих условиях темпы экономического роста возрастут до 6,7%.</w:t>
      </w:r>
    </w:p>
    <w:p w:rsidR="00B67DFB" w:rsidRPr="006A608C" w:rsidRDefault="00B67DFB" w:rsidP="00A426D6">
      <w:pPr>
        <w:spacing w:line="360" w:lineRule="auto"/>
        <w:ind w:firstLine="709"/>
        <w:jc w:val="both"/>
      </w:pPr>
      <w:r w:rsidRPr="006A608C">
        <w:t xml:space="preserve">В соответствии с прогнозом на среднесрочный период предполагается, что цена на российскую нефть в 2010 году по первому варианту может составить 39 долларов США за баррель, по второму — 50 долларов США за баррель, по третьему — 62 доллара США за баррель. Изменение ценовой внешнеэкономической конъюнктуры скажется на развитии российской экономики. Ожидается, что темп роста объема ВВП в 2009—2010 годах может составить 5,3—6,3%. </w:t>
      </w:r>
    </w:p>
    <w:p w:rsidR="00B67DFB" w:rsidRPr="006A608C" w:rsidRDefault="00B67DFB" w:rsidP="00A426D6">
      <w:pPr>
        <w:spacing w:line="360" w:lineRule="auto"/>
        <w:ind w:firstLine="709"/>
        <w:jc w:val="both"/>
      </w:pPr>
      <w:r w:rsidRPr="006A608C">
        <w:t>В 2008 году при всех рассматриваемых вариантах прогноза социально-экономического развития страны ожидается, что платежный баланс останется устойчивым. Вместе с тем в условиях возможного сокращения или умеренного роста экспорта товаров при достаточно интенсивном наращивании импорта товаров положительное сальдо торгового баланса может уменьшиться, что приведет к сокращению профицита счета текущих операций до 3,6—34,2 млрд долларов США.</w:t>
      </w:r>
    </w:p>
    <w:p w:rsidR="00B67DFB" w:rsidRPr="006A608C" w:rsidRDefault="00B67DFB" w:rsidP="00A426D6">
      <w:pPr>
        <w:spacing w:line="360" w:lineRule="auto"/>
        <w:ind w:firstLine="709"/>
        <w:jc w:val="both"/>
      </w:pPr>
      <w:r w:rsidRPr="006A608C">
        <w:t>При первом варианте прогноза, предусматривающем наибольшее снижение цен на нефть, экспорт товаров и услуг может уменьшиться до 321,9 млрд долларов США, а положительное сальдо баланса торговли товарами и услугами — до 29,5 млрд долларов США.</w:t>
      </w:r>
    </w:p>
    <w:p w:rsidR="00B67DFB" w:rsidRPr="006A608C" w:rsidRDefault="00B67DFB" w:rsidP="00A426D6">
      <w:pPr>
        <w:spacing w:line="360" w:lineRule="auto"/>
        <w:ind w:firstLine="709"/>
        <w:jc w:val="both"/>
      </w:pPr>
      <w:r w:rsidRPr="006A608C">
        <w:t>В условиях второго варианта, предусматривающего незначительное понижение, по сравнению с 2007 годом цен на вывозимую Россией нефть, предполагается рост экспорта товаров и услуг до 352,3 млрд долларов США. В этом случае положительное сальдо торговли товарами и услугами может составить 42,5 млрд долларов США.</w:t>
      </w:r>
    </w:p>
    <w:p w:rsidR="00B67DFB" w:rsidRPr="006A608C" w:rsidRDefault="00B67DFB" w:rsidP="00A426D6">
      <w:pPr>
        <w:spacing w:line="360" w:lineRule="auto"/>
        <w:ind w:firstLine="709"/>
        <w:jc w:val="both"/>
      </w:pPr>
      <w:r w:rsidRPr="006A608C">
        <w:t>В соответствии с третьим вариантом, предполагающим улучшение внешнеэкономической конъюнктуры, ожидается более быстрый рост экспорта товаров и услуг — до 378,7 млрд-долларов США. Вместе с тем прогно</w:t>
      </w:r>
      <w:r w:rsidR="004D3F8B" w:rsidRPr="006A608C">
        <w:t>зируется еще более интенсивное н</w:t>
      </w:r>
      <w:r w:rsidRPr="006A608C">
        <w:t xml:space="preserve">аращивание импорта. В этих условиях активное сальдо торговли товарами и услугами может сократиться до 62,1 млрд долларов </w:t>
      </w:r>
      <w:r w:rsidR="004D3F8B" w:rsidRPr="006A608C">
        <w:t>США.</w:t>
      </w:r>
    </w:p>
    <w:p w:rsidR="00B67DFB" w:rsidRPr="006A608C" w:rsidRDefault="00B67DFB" w:rsidP="00A426D6">
      <w:pPr>
        <w:spacing w:line="360" w:lineRule="auto"/>
        <w:ind w:firstLine="709"/>
        <w:jc w:val="both"/>
      </w:pPr>
      <w:r w:rsidRPr="006A608C">
        <w:t>Дефицит баланса доходов и теку</w:t>
      </w:r>
      <w:r w:rsidR="004D3F8B" w:rsidRPr="006A608C">
        <w:t>щих трансфертов прогнозируется в</w:t>
      </w:r>
      <w:r w:rsidRPr="006A608C">
        <w:t xml:space="preserve"> </w:t>
      </w:r>
      <w:r w:rsidR="004D3F8B" w:rsidRPr="006A608C">
        <w:t xml:space="preserve">диапазоне </w:t>
      </w:r>
      <w:r w:rsidRPr="006A608C">
        <w:t xml:space="preserve">25,9—28,0 млрд долларов США при умеренном росте соответствующих поступлений и </w:t>
      </w:r>
      <w:r w:rsidR="004D3F8B" w:rsidRPr="006A608C">
        <w:t>выплат.</w:t>
      </w:r>
    </w:p>
    <w:p w:rsidR="00B67DFB" w:rsidRPr="006A608C" w:rsidRDefault="00B67DFB" w:rsidP="00A426D6">
      <w:pPr>
        <w:spacing w:line="360" w:lineRule="auto"/>
        <w:ind w:firstLine="709"/>
        <w:jc w:val="both"/>
      </w:pPr>
      <w:r w:rsidRPr="006A608C">
        <w:t xml:space="preserve">Предполагается, что положительное сальдо финансового счёта уменьшится до </w:t>
      </w:r>
      <w:r w:rsidR="004D3F8B" w:rsidRPr="006A608C">
        <w:t>34,</w:t>
      </w:r>
      <w:r w:rsidRPr="006A608C">
        <w:t>6 млрд долларов США. Внешние обязательства органов государственного управления сократятся, а в целом международная инвестиционная позиция государственного сектора улучшится на 5,4 млрд долларов США. При сохранении значительных объемов внешнего финансирования частного сектора чистый приток иностранного капитала в этот сектор может составить 40 млрд долларов США. .</w:t>
      </w:r>
    </w:p>
    <w:p w:rsidR="00B67DFB" w:rsidRPr="006A608C" w:rsidRDefault="00B67DFB" w:rsidP="00A426D6">
      <w:pPr>
        <w:spacing w:line="360" w:lineRule="auto"/>
        <w:ind w:firstLine="709"/>
        <w:jc w:val="both"/>
      </w:pPr>
      <w:r w:rsidRPr="006A608C">
        <w:t xml:space="preserve">Как и в 2007 году, совокупное воздействие внешнеэкономических факторов обусловит превышение предложения иностранной валюты над спросом на внутреннем валютном рынке. Вместе с тем в условиях сокращения профицита счета текущих операций давление на обменный курс рубля ослабнет, что </w:t>
      </w:r>
      <w:r w:rsidR="004D3F8B" w:rsidRPr="006A608C">
        <w:t>выразится,</w:t>
      </w:r>
      <w:r w:rsidRPr="006A608C">
        <w:t xml:space="preserve"> в том числе в меньших темпах его укрепления в реальном выражении. Валютные резервы могут увеличиться на 37,9—68,4 млрд долларов США.</w:t>
      </w:r>
    </w:p>
    <w:p w:rsidR="00B67DFB" w:rsidRPr="006A608C" w:rsidRDefault="00B67DFB" w:rsidP="00A426D6">
      <w:pPr>
        <w:spacing w:line="360" w:lineRule="auto"/>
        <w:ind w:firstLine="709"/>
        <w:jc w:val="both"/>
      </w:pPr>
      <w:r w:rsidRPr="006A608C">
        <w:t xml:space="preserve">Согласно среднесрочному прогнозу социально-экономического развития страны до 2010 года ожидается усиление негативного влияния внешних факторов на платежный баланс, прежде всего в сфере внешней торговли. В 2009 году значительное сокращение активного сальдо торгового баланса на фоне сохранения отрицательного сальдо баланса услуг и существенного превышения расходов по обслуживанию внешних обязательств над соответствующими доходами обусловит, в зависимости от варианта, дефицит счета текущих операций (в размере 33,1 млрд </w:t>
      </w:r>
      <w:r w:rsidR="004D3F8B" w:rsidRPr="006A608C">
        <w:t>долларов США или-17,7 млрд долла</w:t>
      </w:r>
      <w:r w:rsidRPr="006A608C">
        <w:t>ров США) или; уменьшение его профицита (до 4,6 млрд долларов США). В 2010 году отрицательное сальдо счета текущих операций в зависимости от варианта может быть равно 56,5; 46,4 и 31,2 млрд д</w:t>
      </w:r>
      <w:r w:rsidR="004D3F8B" w:rsidRPr="006A608C">
        <w:t>олларов США соответственно.</w:t>
      </w:r>
      <w:r w:rsidR="006A608C">
        <w:t xml:space="preserve"> </w:t>
      </w:r>
    </w:p>
    <w:p w:rsidR="00B67DFB" w:rsidRPr="006A608C" w:rsidRDefault="00B67DFB" w:rsidP="00A426D6">
      <w:pPr>
        <w:spacing w:line="360" w:lineRule="auto"/>
        <w:ind w:firstLine="709"/>
        <w:jc w:val="both"/>
      </w:pPr>
      <w:r w:rsidRPr="006A608C">
        <w:t>Общая макроэкономическая стабильность станет определяющим фактором роста инвестиционной привлекательности экономики. Ожидается, что чистый приток иностранного капитала в частный сектор составит 45 млрд долларов США в 2009 году и 55 млрд долларов США в 2010 году. Его объема будет достаточно для обеспечения внешнего финансирования дефицита счета текущих операций платежного баланса в 2009 году. Прирост валютных резервов может составить 8,6—46,3 млрд долларов США. В 2010 году возможно их сокращение</w:t>
      </w:r>
      <w:r w:rsidR="004D3F8B" w:rsidRPr="006A608C">
        <w:t xml:space="preserve"> на 4,5 млрд долларов США или рост на 5,6 – 20,8 млрд долларов США.</w:t>
      </w:r>
    </w:p>
    <w:p w:rsidR="00FB3E0D" w:rsidRPr="006A608C" w:rsidRDefault="00FB3E0D" w:rsidP="00A426D6">
      <w:pPr>
        <w:spacing w:line="360" w:lineRule="auto"/>
        <w:ind w:firstLine="709"/>
        <w:jc w:val="both"/>
      </w:pPr>
    </w:p>
    <w:p w:rsidR="00FB3E0D" w:rsidRPr="00F9497A" w:rsidRDefault="00FB3E0D" w:rsidP="00A426D6">
      <w:pPr>
        <w:spacing w:line="360" w:lineRule="auto"/>
        <w:ind w:left="709"/>
        <w:jc w:val="center"/>
        <w:rPr>
          <w:b/>
        </w:rPr>
      </w:pPr>
      <w:r w:rsidRPr="00F9497A">
        <w:rPr>
          <w:b/>
        </w:rPr>
        <w:t>Мероприятия Банка России по совершенствованию банковской системы в 2008 году</w:t>
      </w:r>
    </w:p>
    <w:p w:rsidR="00FB3E0D" w:rsidRPr="006A608C" w:rsidRDefault="00FB3E0D" w:rsidP="00A426D6">
      <w:pPr>
        <w:spacing w:line="360" w:lineRule="auto"/>
        <w:ind w:firstLine="709"/>
        <w:jc w:val="both"/>
      </w:pPr>
    </w:p>
    <w:p w:rsidR="006979D4" w:rsidRPr="006A608C" w:rsidRDefault="006979D4" w:rsidP="00A426D6">
      <w:pPr>
        <w:spacing w:line="360" w:lineRule="auto"/>
        <w:ind w:firstLine="709"/>
        <w:jc w:val="both"/>
      </w:pPr>
      <w:r w:rsidRPr="006A608C">
        <w:t>В соответствии со сценарными условиями и основными параметрами прогноза социально-экономического развития Российской Федерации на 2008 год и на период до 2010 года Правительство Российской Федерации и Банк России определили задачу снизить инфляцию в 2008 году до 6—7%, в 2009</w:t>
      </w:r>
      <w:r w:rsidRPr="006A608C">
        <w:tab/>
        <w:t>году — до 5,5—6,5%, в 2010 году — до 5—6% (из расчета декабрь к декабрю). Указанной цели по общему уровню инфляции на потребительском рынке соответствует базовая инфляция 5—6% в 2008 году, 4,5—5,5% — в 2009 году и 4—5% — в 2010 году.</w:t>
      </w:r>
    </w:p>
    <w:p w:rsidR="006979D4" w:rsidRPr="006A608C" w:rsidRDefault="006979D4" w:rsidP="00A426D6">
      <w:pPr>
        <w:spacing w:line="360" w:lineRule="auto"/>
        <w:ind w:firstLine="709"/>
        <w:jc w:val="both"/>
      </w:pPr>
      <w:r w:rsidRPr="006A608C">
        <w:t>Согласно прогнозу социально-экономического развития Российской Федерации на 2008 год темпы роста внутреннего спроса могут быть несколько ниже, чем в 2007 году, укрепление рубля будет не столь интенсивным, как в предыдущие годы, что обусловливает некоторое снижение темпов роста спроса на деньги по сравнению с 2007 годом. В связи с этим Банк России предполагает в зависимости от вариантов прогноза увеличение денежного агрегата М2 на 24—30% за год.</w:t>
      </w:r>
    </w:p>
    <w:p w:rsidR="006979D4" w:rsidRPr="006A608C" w:rsidRDefault="006979D4" w:rsidP="00A426D6">
      <w:pPr>
        <w:spacing w:line="360" w:lineRule="auto"/>
        <w:ind w:firstLine="709"/>
        <w:jc w:val="both"/>
      </w:pPr>
      <w:r w:rsidRPr="006A608C">
        <w:t>В 2009—2010 годах темпы прироста спроса на деньги будут замедляться. При этом темпы прироста денежной массы М2 могут составить 20—24% в 2009 году и 16—20% в 2010 году.</w:t>
      </w:r>
    </w:p>
    <w:p w:rsidR="006979D4" w:rsidRPr="006A608C" w:rsidRDefault="006979D4" w:rsidP="00A426D6">
      <w:pPr>
        <w:spacing w:line="360" w:lineRule="auto"/>
        <w:ind w:firstLine="709"/>
        <w:jc w:val="both"/>
      </w:pPr>
      <w:r w:rsidRPr="006A608C">
        <w:t>Денежная программа на 2008—2010 годы представлена в трех вариантах, соответствующих сценариям прогноза социально-экономического развития Российской Федерации на 2008—2010 годы.</w:t>
      </w:r>
    </w:p>
    <w:p w:rsidR="006979D4" w:rsidRPr="006A608C" w:rsidRDefault="006979D4" w:rsidP="00A426D6">
      <w:pPr>
        <w:spacing w:line="360" w:lineRule="auto"/>
        <w:ind w:firstLine="709"/>
        <w:jc w:val="both"/>
      </w:pPr>
      <w:r w:rsidRPr="006A608C">
        <w:t>В зависимости от сценарных вариантов темп прироста денежной базы в 2008 году может составить 18—24%, в 2009 году— 15—20%, в 2010 году— 12—17%.</w:t>
      </w:r>
    </w:p>
    <w:p w:rsidR="006979D4" w:rsidRPr="006A608C" w:rsidRDefault="006979D4" w:rsidP="00A426D6">
      <w:pPr>
        <w:spacing w:line="360" w:lineRule="auto"/>
        <w:ind w:firstLine="709"/>
        <w:jc w:val="both"/>
      </w:pPr>
      <w:r w:rsidRPr="006A608C">
        <w:t>Основным источником роста денежной базы в 2008—2009 годах, как и в предшествующий период, будет увеличение чистых международных резервов (ЧМР) органов денежно-кредитного регулирования. Однако если в 2008 году по всем трем вариантам прогнозируемый прирост ЧМР будет превышать прирост денежной базы, допустимый с точки зрения достижения цели по инфляции, что потребует от органов денежно-кредитного регулирования реализации комплекса мер по абсорбированию избыточной ликвидности в банковском секторе, то, начиная с 2009 года (по третьему варианту — с 2010</w:t>
      </w:r>
      <w:r w:rsidRPr="006A608C">
        <w:tab/>
        <w:t>года) ожидается увеличение чистых внутренних активов (ЧВА) органов денежно-кредитного регулирования, в том числе — за счет наращивания валового кредита банкам. При этом в 2010 году по</w:t>
      </w:r>
      <w:r w:rsidRPr="006A608C">
        <w:br/>
        <w:t>всем рассматриваемым вариантам кредит банкам может стать основным источником прироста денежного предложения, поскольку прогнозируется заметное повышение спроса со стороны кредитных организаций на инструменты рефинансирования Банка России.</w:t>
      </w:r>
    </w:p>
    <w:p w:rsidR="006979D4" w:rsidRPr="006A608C" w:rsidRDefault="006979D4" w:rsidP="00A426D6">
      <w:pPr>
        <w:spacing w:line="360" w:lineRule="auto"/>
        <w:ind w:firstLine="709"/>
        <w:jc w:val="both"/>
      </w:pPr>
      <w:r w:rsidRPr="006A608C">
        <w:t>Проект основных характеристик федерального бюджета на 2008 год и на период до 2010 года предусматривает смягчение бюджетной политики и уменьшение объема абсорбирования ликвидности в условиях существенного замедления роста остатков средств федерального правительства на счетах в Банке России.</w:t>
      </w:r>
    </w:p>
    <w:p w:rsidR="006979D4" w:rsidRPr="006A608C" w:rsidRDefault="006979D4" w:rsidP="00A426D6">
      <w:pPr>
        <w:spacing w:line="360" w:lineRule="auto"/>
        <w:ind w:firstLine="709"/>
        <w:jc w:val="both"/>
      </w:pPr>
      <w:r w:rsidRPr="006A608C">
        <w:t>По первому варианту денежной программы прирост ЧМР в 2008, году может сократиться до 37,9 млрд долларов США (или около 1 трлн рублей по фиксированному курсу доллара США к рублю на 1.01.2007)— почти в 3 раза по сравнению с ожидаемым в 2007 году. В рамках данного сценария увеличение денежной базы, по оценке, не превысит 765 млрд рублей, поэтому требуемое снижение объема ЧВА составит около 233 млрд рублей — в основном вследствие прогнозируемого сокращения чистого кредита расширенному правительству на 220 млрд рублей (за счет роста остатков средств на счетах в Банке России).</w:t>
      </w:r>
    </w:p>
    <w:p w:rsidR="002C7D6D" w:rsidRPr="006A608C" w:rsidRDefault="006979D4" w:rsidP="00A426D6">
      <w:pPr>
        <w:spacing w:line="360" w:lineRule="auto"/>
        <w:ind w:firstLine="709"/>
        <w:jc w:val="both"/>
      </w:pPr>
      <w:r w:rsidRPr="006A608C">
        <w:t>В соответствии со сценарными характеристиками первого варианта при прогнозируемом существенном замедлении прироста ЧМР в 2009 году (до 226 млрд рублей) и их абсолютном снижении в 2010 году на 118 млрд рублей для удовлетворения спроса на деньги потребуется увеличение объема чистых внутренних активов. При условии замедления в 2009—2010 годах темпов прироста остатков средств на счетах расширенного правительства в Банке России потребность в увеличении чистого кредита банкам, по оценке, возрастет с 793 млрд рублей в 2009 году до 991 млрд рублей в 2010 году. При этом если в 2009 году указанная потребность почти полностью будет обеспечена за счет снижения</w:t>
      </w:r>
      <w:r w:rsidR="002C7D6D" w:rsidRPr="006A608C">
        <w:t xml:space="preserve"> объема ликвидности, абсорбированной Банком России в предшествующий период, то в 2010 году более чем на 80%— за счет использования инструментов Банка Росси по предоставлению денежных средств кредитным организациям.</w:t>
      </w:r>
    </w:p>
    <w:p w:rsidR="002C7D6D" w:rsidRPr="006A608C" w:rsidRDefault="002C7D6D" w:rsidP="00A426D6">
      <w:pPr>
        <w:spacing w:line="360" w:lineRule="auto"/>
        <w:ind w:firstLine="709"/>
        <w:jc w:val="both"/>
      </w:pPr>
      <w:r w:rsidRPr="006A608C">
        <w:t>В рамках второго варианта денежной программы, в котором прирост чистых международных резервов в 2008 году может составить 1,3 трлн рублей, предусмотрено уменьшение ЧВА на 421 млрд рублей. Макроэкономические характеристики, соответствующие данному сценарию (в том числе более высокие мировые цены на энергоносители), предопределяют более значительное, чем по первому варианту, увеличение суммарных остатков средств на счетах федерального правительства в Банке России. Общее снижение чистого кредита расширенному правительству по этому варианту программы может составить 370 млрд рублей.</w:t>
      </w:r>
    </w:p>
    <w:p w:rsidR="002C7D6D" w:rsidRPr="006A608C" w:rsidRDefault="002C7D6D" w:rsidP="00A426D6">
      <w:pPr>
        <w:spacing w:line="360" w:lineRule="auto"/>
        <w:ind w:firstLine="709"/>
        <w:jc w:val="both"/>
      </w:pPr>
      <w:r w:rsidRPr="006A608C">
        <w:t>Второй вариант программы предусматривает, что в 2009—2010 годах прироста ЧМР (на 632 и 148 млрд рублей соответственно) будет недостаточно для обеспечения запланированных темпов роста денежного предложения со стороны органов денежно-кредитного регулирования. Поэтому прогнозируется увеличение чистых внутренних активов на 239 и 640 млрд рублей соответственно. Для этого в 2009 году Банку России потребуется обеспечить рост чистого кредита банкам на 663 млрд рублей, а в 2010 году — на 955 млрд рублей (из них около 84% — за счет увеличения объема валового кредита).</w:t>
      </w:r>
    </w:p>
    <w:p w:rsidR="002C7D6D" w:rsidRPr="006A608C" w:rsidRDefault="002C7D6D" w:rsidP="00A426D6">
      <w:pPr>
        <w:spacing w:line="360" w:lineRule="auto"/>
        <w:ind w:firstLine="709"/>
        <w:jc w:val="both"/>
      </w:pPr>
      <w:r w:rsidRPr="006A608C">
        <w:t>По третьему варианту денежной программы прогнозируемый прирост ЧМР в 2008 году (1,8 трлн рублей) будет почти в 2 раза больше прироста денежной базы, допустимого с точки зрения достижения цели по инфляции. Необходимое снижение ЧВА по данному варианту программы может составить в 2008 году 866 млрд рублей. Благоприятная внешнеэкономическая конъюнктура и ускорение темпов экономического роста станут факторами сохранения значительных налоговых поступлений в бюджет. С учетом прогнозируемой динамики остатков средств консолидированных бюджетов субъектов Российской Федерации и государственных внебюджетных фондов на счетах в Банке России снижение чистого кредита расширенному правительству по этому варианту прогнозируется в размере 770 млрд рублей. Оставшийся прирост чистых внутренних активов будет обеспечен за счет динамики прочих чистых неклассифицированных активов.</w:t>
      </w:r>
    </w:p>
    <w:p w:rsidR="002C7D6D" w:rsidRPr="006A608C" w:rsidRDefault="002C7D6D" w:rsidP="00A426D6">
      <w:pPr>
        <w:spacing w:line="360" w:lineRule="auto"/>
        <w:ind w:firstLine="709"/>
        <w:jc w:val="both"/>
      </w:pPr>
      <w:r w:rsidRPr="006A608C">
        <w:t>По данному варианту денежной программы предусматривается, что и в 2009 году увеличение ЧМР будет превышать допустимый прирост денежной базы — необходимое сокращение чистых внутренних активов оценивается на уровне 295 млрд рублей. Прогнозируемое уменьшение чистого кредита расширенному правительству в 2009 году составит 570 млрд рублей, что существенно превысит снижение ЧВА. В этих условиях Банку России потребуется обеспечить увеличение чистого кредита банкам на 479 млрд рублей.</w:t>
      </w:r>
    </w:p>
    <w:p w:rsidR="002C7D6D" w:rsidRPr="006A608C" w:rsidRDefault="002C7D6D" w:rsidP="00A426D6">
      <w:pPr>
        <w:spacing w:line="360" w:lineRule="auto"/>
        <w:ind w:firstLine="709"/>
        <w:jc w:val="both"/>
      </w:pPr>
      <w:r w:rsidRPr="006A608C">
        <w:t>Ожидается, что в 2010 году прирост ЧМР по третьему варианту будет недостаточен для обеспечения необходимого увеличения денежной базы и потребуется повысить объем чистых внутренних активов на 365 млрд рублей. В условиях прогнозируемого снижения чистого кредита расширенному правительству на 370 млрд рублей главным источником прироста ЧВА станет повышение чистого кредита банкам на 923 млрд рублей.</w:t>
      </w:r>
    </w:p>
    <w:p w:rsidR="002C7D6D" w:rsidRPr="006A608C" w:rsidRDefault="002C7D6D" w:rsidP="00A426D6">
      <w:pPr>
        <w:spacing w:line="360" w:lineRule="auto"/>
        <w:ind w:firstLine="709"/>
        <w:jc w:val="both"/>
      </w:pPr>
      <w:r w:rsidRPr="006A608C">
        <w:t>Параметры денежной программы не являются жестко заданными и могут быть уточнены в соответствии со складывающейся макроэкономической ситуацией, изменением влияния ключевых внутренних и внешних факторов на состояние денежно-кредитной сферы. Банк России при реализации денежно-кредитной политики будет учитывать возможные риски в целях адекватного реагирования с применением инструментов, имеющихся в его распоряжении.</w:t>
      </w:r>
    </w:p>
    <w:p w:rsidR="002C7D6D" w:rsidRPr="006A608C" w:rsidRDefault="002C7D6D" w:rsidP="00A426D6">
      <w:pPr>
        <w:spacing w:line="360" w:lineRule="auto"/>
        <w:ind w:firstLine="709"/>
        <w:jc w:val="both"/>
      </w:pPr>
      <w:r w:rsidRPr="006A608C">
        <w:t>В 2008 году Банк России продолжит проведение денежно-кредитной политики в условиях сохранения режима управляемого плавающего курса рубля. Курсовая политика будет направлена на сглаживание резких колебаний обменного курса, не обусловленных действием фундаментальных экономических факторов, и будет проводиться с учетом необходимости сдерживания инфляционных процессов и поддержания ценовой конкурентоспособно</w:t>
      </w:r>
      <w:r w:rsidR="00B306D2" w:rsidRPr="006A608C">
        <w:t>сти отечественного производства (Приложение</w:t>
      </w:r>
      <w:r w:rsidR="003429CF" w:rsidRPr="006A608C">
        <w:t xml:space="preserve"> 2</w:t>
      </w:r>
      <w:r w:rsidR="00B306D2" w:rsidRPr="006A608C">
        <w:t>)</w:t>
      </w:r>
    </w:p>
    <w:p w:rsidR="00D50391" w:rsidRPr="006A608C" w:rsidRDefault="00D50391" w:rsidP="00A426D6">
      <w:pPr>
        <w:spacing w:line="360" w:lineRule="auto"/>
        <w:ind w:firstLine="709"/>
        <w:jc w:val="both"/>
      </w:pPr>
      <w:r w:rsidRPr="006A608C">
        <w:t>В 2008 году в условиях благоприятной макроэкономической ситуации развитие банковского сектора продолжится по всем основным направлениям, включая увеличение объемов кредитования эффективных проектов, малого предпринимательства и видов деятельности регионального значения, расширение спектра розничных услуг, развитие ипотеки, повышение степени доступности банковских услуг для клиентов, в том числе для населения средних и малых городов, а также сельских населенных пунктов.</w:t>
      </w:r>
    </w:p>
    <w:p w:rsidR="00D50391" w:rsidRPr="006A608C" w:rsidRDefault="00D50391" w:rsidP="00A426D6">
      <w:pPr>
        <w:spacing w:line="360" w:lineRule="auto"/>
        <w:ind w:firstLine="709"/>
        <w:jc w:val="both"/>
      </w:pPr>
      <w:r w:rsidRPr="006A608C">
        <w:t>Дальнейшему развитию банковского сектора будет способствовать реализация предусмотренных Стратегией развития банковского сектора Российской Федерации на период до 2008 года (далее — Стратегия), «Программой социально-экономического развития Российской Федерации на среднесрочную перспективу (2006—2008 годы)», поручениями Президента Российской Федерации мер, направленных на улучшение правовой среды, инвестиционного и делового климата, повышение эффективности функционирования системы страхования вкладов, расширение доступа кредитных организаций к финансовым ресурсам, повышение их капитализации, укрепление конкурентоспособности и устойчивости банковской системы.</w:t>
      </w:r>
    </w:p>
    <w:p w:rsidR="00D50391" w:rsidRPr="006A608C" w:rsidRDefault="00D50391" w:rsidP="00A426D6">
      <w:pPr>
        <w:spacing w:line="360" w:lineRule="auto"/>
        <w:ind w:firstLine="709"/>
        <w:jc w:val="both"/>
      </w:pPr>
      <w:r w:rsidRPr="006A608C">
        <w:t>Банковский сектор сохранит инвестиционную привлекательность, что позволит повысить уровень его капитализации за счет реализации вновь выпускаемых акций. Возрастет роль банков, контролируемых иностранным капиталом.</w:t>
      </w:r>
    </w:p>
    <w:p w:rsidR="00D50391" w:rsidRPr="006A608C" w:rsidRDefault="00D50391" w:rsidP="00A426D6">
      <w:pPr>
        <w:spacing w:line="360" w:lineRule="auto"/>
        <w:ind w:firstLine="709"/>
        <w:jc w:val="both"/>
      </w:pPr>
      <w:r w:rsidRPr="006A608C">
        <w:t>В 2008 году Банк России в соответствии со Стратегией продолжит работу по развитию банковского сектора и банковского надзора по ряду направлений. В число приоритетных направлений входит дальнейшее развитие риск-ориентированного надзора, повышение качества оценки финансовой устойчивости кредитных организаций. Будет продолжена работа:</w:t>
      </w:r>
    </w:p>
    <w:p w:rsidR="00D50391" w:rsidRPr="006A608C" w:rsidRDefault="00D50391" w:rsidP="00A426D6">
      <w:pPr>
        <w:spacing w:line="360" w:lineRule="auto"/>
        <w:ind w:firstLine="709"/>
        <w:jc w:val="both"/>
      </w:pPr>
      <w:r w:rsidRPr="006A608C">
        <w:t>- по развитию с учетом: международно признанной практики содержательной компоненты надзора, в том числе консолидированного надзора. Это будет способствовать повышению качества надзорной оценки экономического положения банков, выявлению проблем в банковской деятельности на ранних стадиях их возникновения, дальнейшему совершенствованию пруденциальной отчетности, своевременному и адекватному применению корректирующих мер в отношении кредитных организаций;</w:t>
      </w:r>
    </w:p>
    <w:p w:rsidR="00D50391" w:rsidRPr="006A608C" w:rsidRDefault="00D50391" w:rsidP="00A426D6">
      <w:pPr>
        <w:spacing w:line="360" w:lineRule="auto"/>
        <w:ind w:firstLine="709"/>
        <w:jc w:val="both"/>
      </w:pPr>
      <w:r w:rsidRPr="006A608C">
        <w:t>- по регулированию рисков, принимаемых кредитными организациями при осуществлении операций и сделок кредитного характера со связанными с ними лицами и связанными должниками;</w:t>
      </w:r>
    </w:p>
    <w:p w:rsidR="00D50391" w:rsidRPr="006A608C" w:rsidRDefault="00D50391" w:rsidP="00A426D6">
      <w:pPr>
        <w:spacing w:line="360" w:lineRule="auto"/>
        <w:ind w:firstLine="709"/>
        <w:jc w:val="both"/>
      </w:pPr>
      <w:r w:rsidRPr="006A608C">
        <w:t>- по совершенствованию подходов к управлению риском потери ликвидности, ориентированных на использование концепции денежных потоков и оценку состояния систем управления рисками ликвидности в кредитных организациях;</w:t>
      </w:r>
    </w:p>
    <w:p w:rsidR="00D50391" w:rsidRPr="006A608C" w:rsidRDefault="00D50391" w:rsidP="00A426D6">
      <w:pPr>
        <w:spacing w:line="360" w:lineRule="auto"/>
        <w:ind w:firstLine="709"/>
        <w:jc w:val="both"/>
      </w:pPr>
      <w:r w:rsidRPr="006A608C">
        <w:t>- по подготовке к реализации подходов, предусмотренных документом Базельского комитета по банковскому надзору «Международная конвергенция измерения капитала и стандартов капитала: но</w:t>
      </w:r>
      <w:r w:rsidR="00F9497A" w:rsidRPr="00F9497A">
        <w:t xml:space="preserve"> </w:t>
      </w:r>
      <w:r w:rsidRPr="006A608C">
        <w:t>вые подходы» (Базель II), включая разработку предложений по внесению изменений в действующее законодательство в соответствии с этим документом. Будут разрабатываться подходы к определению</w:t>
      </w:r>
      <w:r w:rsidR="00F9497A" w:rsidRPr="00F9497A">
        <w:t xml:space="preserve"> </w:t>
      </w:r>
      <w:r w:rsidRPr="006A608C">
        <w:t>стандартов внутренних процедур организации риск-менеджмента и оценки достаточности капитала для банков, к оценке внутренних процедур банка по определению достаточности капитала и стратегии</w:t>
      </w:r>
      <w:r w:rsidR="00F9497A" w:rsidRPr="00F9497A">
        <w:t xml:space="preserve"> </w:t>
      </w:r>
      <w:r w:rsidRPr="006A608C">
        <w:t>поддержания капитала, а также адекватности внутрибанковских оценок достаточности капитала;</w:t>
      </w:r>
    </w:p>
    <w:p w:rsidR="00D50391" w:rsidRPr="006A608C" w:rsidRDefault="00D50391" w:rsidP="00A426D6">
      <w:pPr>
        <w:spacing w:line="360" w:lineRule="auto"/>
        <w:ind w:firstLine="709"/>
        <w:jc w:val="both"/>
      </w:pPr>
      <w:r w:rsidRPr="006A608C">
        <w:t>- по дальнейшему совершенствованию правовой базы в части придания нормативного характера положениям</w:t>
      </w:r>
      <w:r w:rsidR="006A608C">
        <w:t xml:space="preserve"> </w:t>
      </w:r>
      <w:r w:rsidRPr="006A608C">
        <w:t>о</w:t>
      </w:r>
      <w:r w:rsidR="006A608C">
        <w:t xml:space="preserve"> </w:t>
      </w:r>
      <w:r w:rsidRPr="006A608C">
        <w:t>составе</w:t>
      </w:r>
      <w:r w:rsidR="006A608C">
        <w:t xml:space="preserve"> </w:t>
      </w:r>
      <w:r w:rsidRPr="006A608C">
        <w:t>и</w:t>
      </w:r>
      <w:r w:rsidR="006A608C">
        <w:t xml:space="preserve"> </w:t>
      </w:r>
      <w:r w:rsidRPr="006A608C">
        <w:t>способах</w:t>
      </w:r>
      <w:r w:rsidR="006A608C">
        <w:t xml:space="preserve"> </w:t>
      </w:r>
      <w:r w:rsidRPr="006A608C">
        <w:t>раскрытия</w:t>
      </w:r>
      <w:r w:rsidR="006A608C">
        <w:t xml:space="preserve"> </w:t>
      </w:r>
      <w:r w:rsidRPr="006A608C">
        <w:t>информации</w:t>
      </w:r>
      <w:r w:rsidR="006A608C">
        <w:t xml:space="preserve"> </w:t>
      </w:r>
      <w:r w:rsidRPr="006A608C">
        <w:t>при</w:t>
      </w:r>
      <w:r w:rsidR="006A608C">
        <w:t xml:space="preserve"> </w:t>
      </w:r>
      <w:r w:rsidRPr="006A608C">
        <w:t>осуществлении</w:t>
      </w:r>
      <w:r w:rsidR="006A608C">
        <w:t xml:space="preserve"> </w:t>
      </w:r>
      <w:r w:rsidRPr="006A608C">
        <w:t>кредитными организациями потребительского (включая ипотечное) кредитования, а также при предоставлении населению</w:t>
      </w:r>
      <w:r w:rsidR="006A608C">
        <w:t xml:space="preserve"> </w:t>
      </w:r>
      <w:r w:rsidRPr="006A608C">
        <w:t>других</w:t>
      </w:r>
      <w:r w:rsidR="006A608C">
        <w:t xml:space="preserve"> </w:t>
      </w:r>
      <w:r w:rsidRPr="006A608C">
        <w:t>розничных</w:t>
      </w:r>
      <w:r w:rsidR="006A608C">
        <w:t xml:space="preserve"> </w:t>
      </w:r>
      <w:r w:rsidRPr="006A608C">
        <w:t>финансовых</w:t>
      </w:r>
      <w:r w:rsidR="006A608C">
        <w:t xml:space="preserve"> </w:t>
      </w:r>
      <w:r w:rsidRPr="006A608C">
        <w:t>продуктов.</w:t>
      </w:r>
      <w:r w:rsidR="006A608C">
        <w:t xml:space="preserve"> </w:t>
      </w:r>
      <w:r w:rsidRPr="006A608C">
        <w:t>Важной</w:t>
      </w:r>
      <w:r w:rsidR="006A608C">
        <w:t xml:space="preserve"> </w:t>
      </w:r>
      <w:r w:rsidRPr="006A608C">
        <w:t>частью</w:t>
      </w:r>
      <w:r w:rsidR="006A608C">
        <w:t xml:space="preserve"> </w:t>
      </w:r>
      <w:r w:rsidRPr="006A608C">
        <w:t>данной</w:t>
      </w:r>
      <w:r w:rsidR="006A608C">
        <w:t xml:space="preserve"> </w:t>
      </w:r>
      <w:r w:rsidRPr="006A608C">
        <w:t>работы</w:t>
      </w:r>
      <w:r w:rsidR="006A608C">
        <w:t xml:space="preserve"> </w:t>
      </w:r>
      <w:r w:rsidRPr="006A608C">
        <w:t>будут совместные усилия Банка России и банковского сообщества по повышению финансовой грамотности и</w:t>
      </w:r>
      <w:r w:rsidR="00F9497A" w:rsidRPr="00F9497A">
        <w:t xml:space="preserve"> </w:t>
      </w:r>
      <w:r w:rsidRPr="006A608C">
        <w:t>информированности</w:t>
      </w:r>
      <w:r w:rsidR="006A608C">
        <w:t xml:space="preserve"> </w:t>
      </w:r>
      <w:r w:rsidRPr="006A608C">
        <w:t>населения</w:t>
      </w:r>
      <w:r w:rsidR="006A608C">
        <w:t xml:space="preserve"> </w:t>
      </w:r>
      <w:r w:rsidRPr="006A608C">
        <w:t>о банковских услугах,</w:t>
      </w:r>
      <w:r w:rsidR="006A608C">
        <w:t xml:space="preserve"> </w:t>
      </w:r>
      <w:r w:rsidRPr="006A608C">
        <w:t>в том</w:t>
      </w:r>
      <w:r w:rsidR="006A608C">
        <w:t xml:space="preserve"> </w:t>
      </w:r>
      <w:r w:rsidRPr="006A608C">
        <w:t>числе путем</w:t>
      </w:r>
      <w:r w:rsidR="006A608C">
        <w:t xml:space="preserve"> </w:t>
      </w:r>
      <w:r w:rsidRPr="006A608C">
        <w:t>разработки</w:t>
      </w:r>
      <w:r w:rsidR="006A608C">
        <w:t xml:space="preserve"> </w:t>
      </w:r>
      <w:r w:rsidRPr="006A608C">
        <w:t>и</w:t>
      </w:r>
      <w:r w:rsidR="006A608C">
        <w:t xml:space="preserve"> </w:t>
      </w:r>
      <w:r w:rsidRPr="006A608C">
        <w:t>принятия банковскими ассоциациями стандартов качества раскрытия информации и их применения кредитными организациями;</w:t>
      </w:r>
    </w:p>
    <w:p w:rsidR="001D32A6" w:rsidRPr="006A608C" w:rsidRDefault="001D32A6" w:rsidP="00A426D6">
      <w:pPr>
        <w:spacing w:line="360" w:lineRule="auto"/>
        <w:ind w:firstLine="709"/>
        <w:jc w:val="both"/>
      </w:pPr>
      <w:r w:rsidRPr="006A608C">
        <w:t>- по совершенствованию доверительного управления путем закрепления на законодательном уровне возможности создания кредитными организациями общих фондов банковского управления, а также определения полномочий Банка России по регламентированию их деятельности;</w:t>
      </w:r>
    </w:p>
    <w:p w:rsidR="001D32A6" w:rsidRPr="006A608C" w:rsidRDefault="001D32A6" w:rsidP="00A426D6">
      <w:pPr>
        <w:spacing w:line="360" w:lineRule="auto"/>
        <w:ind w:firstLine="709"/>
        <w:jc w:val="both"/>
      </w:pPr>
      <w:r w:rsidRPr="006A608C">
        <w:t>- по совершенствованию мониторинга устойчивости банковского сектора и отдельных кредитных организаций, в том числе основных его компонентов: стресс-тестирования, расчета показателей финансовой устойчивости, текущего мониторинга рисков.</w:t>
      </w:r>
    </w:p>
    <w:p w:rsidR="001D32A6" w:rsidRPr="006A608C" w:rsidRDefault="001D32A6" w:rsidP="00A426D6">
      <w:pPr>
        <w:spacing w:line="360" w:lineRule="auto"/>
        <w:ind w:firstLine="709"/>
        <w:jc w:val="both"/>
      </w:pPr>
      <w:r w:rsidRPr="006A608C">
        <w:t>В 2007 году вступили в действие поправки в законодательство, выравнивающие условия доступа российского и иностранного капитала в банковский сектор и направленные на повышение капитализации кредитных организаций и развитие конкуренции в банковском секторе.</w:t>
      </w:r>
    </w:p>
    <w:p w:rsidR="001D32A6" w:rsidRPr="006A608C" w:rsidRDefault="001D32A6" w:rsidP="00A426D6">
      <w:pPr>
        <w:spacing w:line="360" w:lineRule="auto"/>
        <w:ind w:firstLine="709"/>
        <w:jc w:val="both"/>
      </w:pPr>
      <w:r w:rsidRPr="006A608C">
        <w:t>В 2008 году предстоит продолжить работу в направлении повышения эффективности противодействия участию в управлении кредитными организациями лиц, не обладающих должными профессиональными качествами или имеющих сомнительную деловую репутацию, включая:</w:t>
      </w:r>
    </w:p>
    <w:p w:rsidR="001D32A6" w:rsidRPr="006A608C" w:rsidRDefault="001D32A6" w:rsidP="00A426D6">
      <w:pPr>
        <w:spacing w:line="360" w:lineRule="auto"/>
        <w:ind w:firstLine="709"/>
        <w:jc w:val="both"/>
      </w:pPr>
      <w:r w:rsidRPr="006A608C">
        <w:t>- создание механизма оценки деловой репутации руководителей и владельцев кредитных организаций, предусматривающего в том числе расширение надзорных полномочий Банка России по сбору необходимой информации;</w:t>
      </w:r>
    </w:p>
    <w:p w:rsidR="001D32A6" w:rsidRPr="006A608C" w:rsidRDefault="001D32A6" w:rsidP="00A426D6">
      <w:pPr>
        <w:spacing w:line="360" w:lineRule="auto"/>
        <w:ind w:firstLine="709"/>
        <w:jc w:val="both"/>
      </w:pPr>
      <w:r w:rsidRPr="006A608C">
        <w:t>- создание механизма, обеспечивающего отстранение от участия в управлении кредитной организацией лиц, деятельность которых может привести к нарушениям законодательства и нанесению ущерба финансовому положению кредитной организации.</w:t>
      </w:r>
    </w:p>
    <w:p w:rsidR="001D32A6" w:rsidRPr="006A608C" w:rsidRDefault="001D32A6" w:rsidP="00A426D6">
      <w:pPr>
        <w:spacing w:line="360" w:lineRule="auto"/>
        <w:ind w:firstLine="709"/>
        <w:jc w:val="both"/>
      </w:pPr>
      <w:r w:rsidRPr="006A608C">
        <w:t>В 2008 году будет продолжена работа по осуществлению дополнительных мер, направленных на повышение капитализации кредитных организаций и обеспечение благоприятных условий публичного размещения их акций. Указанные меры предусматривают совершенствование процедуры регистрации ценных бумаг (введение уведомления об итогах выпуска для кредитных организаций в форме открытого акционерного общества с уставным капиталом свыше рублевого эквивалента 5 млн. евро) при одновременном соблюдении требований банковского законодательства приобретателями акций (долей) кредитных организаций.</w:t>
      </w:r>
    </w:p>
    <w:p w:rsidR="001D32A6" w:rsidRPr="006A608C" w:rsidRDefault="001D32A6" w:rsidP="00A426D6">
      <w:pPr>
        <w:spacing w:line="360" w:lineRule="auto"/>
        <w:ind w:firstLine="709"/>
        <w:jc w:val="both"/>
      </w:pPr>
      <w:r w:rsidRPr="006A608C">
        <w:t>В целях защиты интересов вкладчиков признанных банкротами кредитных организаций, не участвующих в системе страхования вкладов, Банком России будет продолжена работа по обеспечению выполнения требований, предусмотренных Федеральным законом № 96-ФЗ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w:t>
      </w:r>
    </w:p>
    <w:p w:rsidR="001D32A6" w:rsidRPr="006A608C" w:rsidRDefault="001D32A6" w:rsidP="00A426D6">
      <w:pPr>
        <w:spacing w:line="360" w:lineRule="auto"/>
        <w:ind w:firstLine="709"/>
        <w:jc w:val="both"/>
      </w:pPr>
      <w:r w:rsidRPr="006A608C">
        <w:t>Банк России продолжит работу по совершенствованию деятельности банковского сектора в сфере противодействия легализации (отмыванию) доходов, полученных преступным путем, и финансированию терроризма.</w:t>
      </w:r>
    </w:p>
    <w:p w:rsidR="001D32A6" w:rsidRPr="006A608C" w:rsidRDefault="001D32A6" w:rsidP="00A426D6">
      <w:pPr>
        <w:spacing w:line="360" w:lineRule="auto"/>
        <w:ind w:firstLine="709"/>
        <w:jc w:val="both"/>
      </w:pPr>
      <w:r w:rsidRPr="006A608C">
        <w:t>С целью обеспечения эффективной реализации кредитными организациями требований законодательства о противодействии легализации доходов, полученных преступным путем, и финансированию терроризма, Банк России с учетом правоприменительной практики и анализа результатов проверок кредитных организаций предпримет меры по дальнейшему развитию и совершенствованию нормативно-правового регулирования и методологического обеспечения деятельности кредитных организаций по контролю за операциями с денежными средствами или иным имуществом, подлежащими обязательному контролю.</w:t>
      </w:r>
    </w:p>
    <w:p w:rsidR="001D32A6" w:rsidRPr="006A608C" w:rsidRDefault="001D32A6" w:rsidP="00A426D6">
      <w:pPr>
        <w:spacing w:line="360" w:lineRule="auto"/>
        <w:ind w:firstLine="709"/>
        <w:jc w:val="both"/>
      </w:pPr>
      <w:r w:rsidRPr="006A608C">
        <w:t>В 2008 году основными задачами Банка России в области инспекционной деятельности будут являться организация и проведение проверок кредитных организаций преимущественно на плановой основе, при этом повышенное внимание будет уделяться качеству результатов проверок кредитных организаций (их филиалов). В этих целях при проведении проверок кредитных организаций (их филиалов) основное внимание будет сосредоточено на вопросах:</w:t>
      </w:r>
    </w:p>
    <w:p w:rsidR="001D32A6" w:rsidRPr="006A608C" w:rsidRDefault="001D32A6" w:rsidP="00A426D6">
      <w:pPr>
        <w:spacing w:line="360" w:lineRule="auto"/>
        <w:ind w:firstLine="709"/>
        <w:jc w:val="both"/>
      </w:pPr>
      <w:r w:rsidRPr="006A608C">
        <w:t>- оценки финансового состояния кредитных организаций;</w:t>
      </w:r>
    </w:p>
    <w:p w:rsidR="001D32A6" w:rsidRPr="006A608C" w:rsidRDefault="001D32A6" w:rsidP="00A426D6">
      <w:pPr>
        <w:spacing w:line="360" w:lineRule="auto"/>
        <w:ind w:firstLine="709"/>
        <w:jc w:val="both"/>
      </w:pPr>
      <w:r w:rsidRPr="006A608C">
        <w:t>- контроля за соблюдением банками — участниками системы страхования вкладов требований, установленных Федеральным законом № 177-ФЗ «О страховании вкладов физических лиц в банках Российской Федерации»;</w:t>
      </w:r>
    </w:p>
    <w:p w:rsidR="001D32A6" w:rsidRPr="006A608C" w:rsidRDefault="001D32A6" w:rsidP="00A426D6">
      <w:pPr>
        <w:spacing w:line="360" w:lineRule="auto"/>
        <w:ind w:firstLine="709"/>
        <w:jc w:val="both"/>
      </w:pPr>
      <w:r w:rsidRPr="006A608C">
        <w:t>- выявления и оценки рисков, возникающих в деятельности кредитных организаций (их филиалов);</w:t>
      </w:r>
    </w:p>
    <w:p w:rsidR="00A30E5B" w:rsidRPr="006A608C" w:rsidRDefault="00A30E5B" w:rsidP="00A426D6">
      <w:pPr>
        <w:spacing w:line="360" w:lineRule="auto"/>
        <w:ind w:firstLine="709"/>
        <w:jc w:val="both"/>
      </w:pPr>
      <w:r w:rsidRPr="006A608C">
        <w:t>- оценки качества и эффективности систем внутреннего контроля и управления рисками кредитных организаций;</w:t>
      </w:r>
    </w:p>
    <w:p w:rsidR="00A30E5B" w:rsidRPr="006A608C" w:rsidRDefault="00A30E5B" w:rsidP="00A426D6">
      <w:pPr>
        <w:spacing w:line="360" w:lineRule="auto"/>
        <w:ind w:firstLine="709"/>
        <w:jc w:val="both"/>
      </w:pPr>
      <w:r w:rsidRPr="006A608C">
        <w:t>- контроля за соблюдением кредитными организациями (их филиалами) требований Федерального закона № 115-ФЗ «О противодействии легализации (отмыванию) доходов, полученных преступным путем, и финансированию терроризма» и изданных в целях его реализации нормативных актов Банка России;</w:t>
      </w:r>
    </w:p>
    <w:p w:rsidR="00A30E5B" w:rsidRPr="006A608C" w:rsidRDefault="00A30E5B" w:rsidP="00A426D6">
      <w:pPr>
        <w:spacing w:line="360" w:lineRule="auto"/>
        <w:ind w:firstLine="709"/>
        <w:jc w:val="both"/>
      </w:pPr>
      <w:r w:rsidRPr="006A608C">
        <w:t>- оценке достоверности учета и отчетности кредитных организаций;</w:t>
      </w:r>
    </w:p>
    <w:p w:rsidR="00A30E5B" w:rsidRPr="006A608C" w:rsidRDefault="00A30E5B" w:rsidP="00A426D6">
      <w:pPr>
        <w:spacing w:line="360" w:lineRule="auto"/>
        <w:ind w:firstLine="709"/>
        <w:jc w:val="both"/>
      </w:pPr>
      <w:r w:rsidRPr="006A608C">
        <w:t>- контроля за выполнением требований по устранению кредитными организациями (их филиалами) нарушений законодательства Российской Федерации и нормативных актов Банка России, выявленных в ходе надзора за их деятельностью.</w:t>
      </w:r>
    </w:p>
    <w:p w:rsidR="00A30E5B" w:rsidRPr="006A608C" w:rsidRDefault="00A30E5B" w:rsidP="00A426D6">
      <w:pPr>
        <w:spacing w:line="360" w:lineRule="auto"/>
        <w:ind w:firstLine="709"/>
        <w:jc w:val="both"/>
      </w:pPr>
      <w:r w:rsidRPr="006A608C">
        <w:t>В связи с возрастанием рисков кредитных организаций, обусловленных высокими темпами расширения потребительского кредитования, особую актуальность приобретает контроль за соблюдением требований отражения кредитными организациями реального уровня риска по потребительским кредитам. Также в целях защиты интересов клиентов банков повышенное внимание при проведении проверок будет уделяться проверке соблюдения требований по доведению до сведения заемщиков информации о реальной стоимости кредита.</w:t>
      </w:r>
    </w:p>
    <w:p w:rsidR="00A30E5B" w:rsidRPr="006A608C" w:rsidRDefault="00A30E5B" w:rsidP="00A426D6">
      <w:pPr>
        <w:spacing w:line="360" w:lineRule="auto"/>
        <w:ind w:firstLine="709"/>
        <w:jc w:val="both"/>
      </w:pPr>
      <w:r w:rsidRPr="006A608C">
        <w:t>В 2008 году Банком России будет продолжена работа по совершенствованию правового и методологического обеспечения инспекционной деятельности в соответствии с Планом мероприятий Банка России по реализации Стратегии.</w:t>
      </w:r>
    </w:p>
    <w:p w:rsidR="00A30E5B" w:rsidRPr="006A608C" w:rsidRDefault="00D243B1" w:rsidP="00A426D6">
      <w:pPr>
        <w:spacing w:line="360" w:lineRule="auto"/>
        <w:ind w:firstLine="709"/>
        <w:jc w:val="both"/>
      </w:pPr>
      <w:r w:rsidRPr="006A608C">
        <w:t>Банк России в</w:t>
      </w:r>
      <w:r w:rsidR="00A30E5B" w:rsidRPr="006A608C">
        <w:t xml:space="preserve"> рамках реализации Стратегии развития финансового рынка Российской Федерации на 2006—2008 годы, утвержденной распоряжением Правительства Российской Федерации от 1.06.2006 № 793-р, продолжит участвовать в работе по совершенствованию законодательства о финансовом рынке, в том числе:</w:t>
      </w:r>
    </w:p>
    <w:p w:rsidR="00A30E5B" w:rsidRPr="006A608C" w:rsidRDefault="00D243B1" w:rsidP="00A426D6">
      <w:pPr>
        <w:spacing w:line="360" w:lineRule="auto"/>
        <w:ind w:firstLine="709"/>
        <w:jc w:val="both"/>
      </w:pPr>
      <w:r w:rsidRPr="006A608C">
        <w:t xml:space="preserve">- </w:t>
      </w:r>
      <w:r w:rsidR="00A30E5B" w:rsidRPr="006A608C">
        <w:t>по совершенствованию нормативной базы, регламентир</w:t>
      </w:r>
      <w:r w:rsidRPr="006A608C">
        <w:t xml:space="preserve">ующей проведение сделок РЕПО на </w:t>
      </w:r>
      <w:r w:rsidR="00A30E5B" w:rsidRPr="006A608C">
        <w:t>рынке ОФЗ, в том числе сделок РЕПО с центральным контрагентом в</w:t>
      </w:r>
      <w:r w:rsidRPr="006A608C">
        <w:t xml:space="preserve"> целях развития денежного рынка </w:t>
      </w:r>
      <w:r w:rsidR="00A30E5B" w:rsidRPr="006A608C">
        <w:t>и повышения его ликвидности;</w:t>
      </w:r>
    </w:p>
    <w:p w:rsidR="00A30E5B" w:rsidRPr="006A608C" w:rsidRDefault="00D243B1" w:rsidP="00A426D6">
      <w:pPr>
        <w:spacing w:line="360" w:lineRule="auto"/>
        <w:ind w:firstLine="709"/>
        <w:jc w:val="both"/>
      </w:pPr>
      <w:r w:rsidRPr="006A608C">
        <w:t xml:space="preserve">- </w:t>
      </w:r>
      <w:r w:rsidR="00A30E5B" w:rsidRPr="006A608C">
        <w:t>по подготовке совместно с Минфином России предложений</w:t>
      </w:r>
      <w:r w:rsidRPr="006A608C">
        <w:t xml:space="preserve"> по совершенствованию норматив</w:t>
      </w:r>
      <w:r w:rsidR="00A30E5B" w:rsidRPr="006A608C">
        <w:t>ной базы обмена обращающихся на рынке выпусков ОФЗ на разм</w:t>
      </w:r>
      <w:r w:rsidRPr="006A608C">
        <w:t>ещаемые Минфином России облига</w:t>
      </w:r>
      <w:r w:rsidR="00A30E5B" w:rsidRPr="006A608C">
        <w:t>ции базовых выпусков в целях повышения ликвидности рынка ОФЗ;</w:t>
      </w:r>
    </w:p>
    <w:p w:rsidR="00A30E5B" w:rsidRPr="006A608C" w:rsidRDefault="00D243B1" w:rsidP="00A426D6">
      <w:pPr>
        <w:spacing w:line="360" w:lineRule="auto"/>
        <w:ind w:firstLine="709"/>
        <w:jc w:val="both"/>
      </w:pPr>
      <w:r w:rsidRPr="006A608C">
        <w:t xml:space="preserve">- </w:t>
      </w:r>
      <w:r w:rsidR="00A30E5B" w:rsidRPr="006A608C">
        <w:t xml:space="preserve">по подготовке предложений по формированию нормативно-правовой среды </w:t>
      </w:r>
      <w:r w:rsidRPr="006A608C">
        <w:t xml:space="preserve">для деятельности </w:t>
      </w:r>
      <w:r w:rsidR="00A30E5B" w:rsidRPr="006A608C">
        <w:t>центральных депозитариев в целях повышения эффективности расчет</w:t>
      </w:r>
      <w:r w:rsidRPr="006A608C">
        <w:t>ов на рынке ценных бумаг и системы учета прав на ценные бу</w:t>
      </w:r>
      <w:r w:rsidR="00A30E5B" w:rsidRPr="006A608C">
        <w:t>маги;</w:t>
      </w:r>
    </w:p>
    <w:p w:rsidR="00A30E5B" w:rsidRPr="006A608C" w:rsidRDefault="00D243B1" w:rsidP="00A426D6">
      <w:pPr>
        <w:spacing w:line="360" w:lineRule="auto"/>
        <w:ind w:firstLine="709"/>
        <w:jc w:val="both"/>
      </w:pPr>
      <w:r w:rsidRPr="006A608C">
        <w:t>- по совершенствованию</w:t>
      </w:r>
      <w:r w:rsidR="00A30E5B" w:rsidRPr="006A608C">
        <w:t xml:space="preserve"> законодательства о клиринговой дея</w:t>
      </w:r>
      <w:r w:rsidRPr="006A608C">
        <w:t>тельности в целях повышения эф</w:t>
      </w:r>
      <w:r w:rsidR="00A30E5B" w:rsidRPr="006A608C">
        <w:t>фективности управле</w:t>
      </w:r>
      <w:r w:rsidRPr="006A608C">
        <w:t>ния</w:t>
      </w:r>
      <w:r w:rsidR="00A30E5B" w:rsidRPr="006A608C">
        <w:t xml:space="preserve"> рисками по сделкам, проводимым учас</w:t>
      </w:r>
      <w:r w:rsidRPr="006A608C">
        <w:t xml:space="preserve">тниками финансовых рынков через </w:t>
      </w:r>
      <w:r w:rsidR="00A30E5B" w:rsidRPr="006A608C">
        <w:t>организатора торгов;</w:t>
      </w:r>
    </w:p>
    <w:p w:rsidR="00A30E5B" w:rsidRPr="006A608C" w:rsidRDefault="00D243B1" w:rsidP="00A426D6">
      <w:pPr>
        <w:spacing w:line="360" w:lineRule="auto"/>
        <w:ind w:firstLine="709"/>
        <w:jc w:val="both"/>
      </w:pPr>
      <w:r w:rsidRPr="006A608C">
        <w:t>- по</w:t>
      </w:r>
      <w:r w:rsidR="00A30E5B" w:rsidRPr="006A608C">
        <w:t xml:space="preserve"> внедрению механизмов предоставления ценных бумаг на </w:t>
      </w:r>
      <w:r w:rsidRPr="006A608C">
        <w:t>возвратной основе в целях повы</w:t>
      </w:r>
      <w:r w:rsidR="00A30E5B" w:rsidRPr="006A608C">
        <w:t>шения устойчивости рынков долговых инструментов и их ликвидности;</w:t>
      </w:r>
    </w:p>
    <w:p w:rsidR="00A30E5B" w:rsidRPr="006A608C" w:rsidRDefault="00D243B1" w:rsidP="00A426D6">
      <w:pPr>
        <w:spacing w:line="360" w:lineRule="auto"/>
        <w:ind w:firstLine="709"/>
        <w:jc w:val="both"/>
      </w:pPr>
      <w:r w:rsidRPr="006A608C">
        <w:t xml:space="preserve">- </w:t>
      </w:r>
      <w:r w:rsidR="00A30E5B" w:rsidRPr="006A608C">
        <w:t>по развитию системы индикаторов рыночных процентных ст</w:t>
      </w:r>
      <w:r w:rsidRPr="006A608C">
        <w:t>авок в целях развития денежного рын</w:t>
      </w:r>
      <w:r w:rsidR="00A30E5B" w:rsidRPr="006A608C">
        <w:t>ка и механизма управления процентным риском.</w:t>
      </w:r>
    </w:p>
    <w:p w:rsidR="00A30E5B" w:rsidRPr="006A608C" w:rsidRDefault="00A30E5B" w:rsidP="00A426D6">
      <w:pPr>
        <w:spacing w:line="360" w:lineRule="auto"/>
        <w:ind w:firstLine="709"/>
        <w:jc w:val="both"/>
      </w:pPr>
      <w:r w:rsidRPr="006A608C">
        <w:t>Деятельность Банка России по совершенствованию платежной системы в 2007 году будет направлена на обеспечение эффективного и бесперебойного функционирования платежной системы и ее дальнейшее развитие и, как результат, на укрепление финансовой стабильности в стране и эффективное проведение денежно-кредитной политики.</w:t>
      </w:r>
    </w:p>
    <w:p w:rsidR="00F639EB" w:rsidRPr="006A608C" w:rsidRDefault="00F639EB" w:rsidP="00A426D6">
      <w:pPr>
        <w:spacing w:line="360" w:lineRule="auto"/>
        <w:ind w:firstLine="709"/>
        <w:jc w:val="both"/>
      </w:pPr>
      <w:r w:rsidRPr="006A608C">
        <w:t>Банк России в 2008 году продолжит работу по совершенствованию методологической и информационной базы в области платежных систем, проведению мероприятий пи расширению безналичных платежей, а также мероприятий по сокращению расчетов наличными деньгами, мониторингу состояния розничных платежей в экономике, проводимых как наличными деньгами, так и в безналичном порядке. Указанная работа будет проводиться с учетом международных стандартов и практики зарубежных центральных банков.</w:t>
      </w:r>
    </w:p>
    <w:p w:rsidR="006979D4" w:rsidRPr="006A608C" w:rsidRDefault="00F639EB" w:rsidP="00A426D6">
      <w:pPr>
        <w:spacing w:line="360" w:lineRule="auto"/>
        <w:ind w:firstLine="709"/>
        <w:jc w:val="both"/>
      </w:pPr>
      <w:r w:rsidRPr="006A608C">
        <w:t>В соответствии с законодательно установленными функциями (статья 80 Федерального закона «О Центральном банке Российской Федерации (Банке России)» Банк России намерен в основном завершить мероприятия по установлению порядка наблюдения Банком России за частными платежными</w:t>
      </w:r>
      <w:r w:rsidR="00F9497A" w:rsidRPr="00F9497A">
        <w:t xml:space="preserve"> </w:t>
      </w:r>
      <w:r w:rsidRPr="006A608C">
        <w:t>системами, нарушения, в деятельности которых могут отразиться на стабильности финансовой системы Российской Федерации или существенно повлиять на доверие населения к национальной валюте —</w:t>
      </w:r>
      <w:r w:rsidR="00F9497A" w:rsidRPr="00F9497A">
        <w:t xml:space="preserve"> </w:t>
      </w:r>
      <w:r w:rsidRPr="006A608C">
        <w:t>рублю как средству платежа (Приложение</w:t>
      </w:r>
      <w:r w:rsidR="003429CF" w:rsidRPr="006A608C">
        <w:t xml:space="preserve"> 3</w:t>
      </w:r>
      <w:r w:rsidRPr="006A608C">
        <w:t>)</w:t>
      </w:r>
      <w:r w:rsidR="003429CF" w:rsidRPr="006A608C">
        <w:t>.</w:t>
      </w:r>
    </w:p>
    <w:p w:rsidR="00422865" w:rsidRPr="00F9497A" w:rsidRDefault="00F9497A" w:rsidP="00A426D6">
      <w:pPr>
        <w:spacing w:line="360" w:lineRule="auto"/>
        <w:ind w:firstLine="709"/>
        <w:jc w:val="center"/>
        <w:rPr>
          <w:b/>
          <w:caps/>
        </w:rPr>
      </w:pPr>
      <w:r>
        <w:br w:type="page"/>
      </w:r>
      <w:r w:rsidR="00422865" w:rsidRPr="00F9497A">
        <w:rPr>
          <w:b/>
          <w:caps/>
        </w:rPr>
        <w:t>Заключение</w:t>
      </w:r>
    </w:p>
    <w:p w:rsidR="00003DE7" w:rsidRPr="006A608C" w:rsidRDefault="00003DE7" w:rsidP="00A426D6">
      <w:pPr>
        <w:spacing w:line="360" w:lineRule="auto"/>
        <w:ind w:firstLine="709"/>
        <w:jc w:val="both"/>
        <w:rPr>
          <w:caps/>
        </w:rPr>
      </w:pPr>
    </w:p>
    <w:p w:rsidR="00003DE7" w:rsidRPr="006A608C" w:rsidRDefault="00003DE7" w:rsidP="00A426D6">
      <w:pPr>
        <w:spacing w:line="360" w:lineRule="auto"/>
        <w:ind w:firstLine="709"/>
        <w:jc w:val="both"/>
      </w:pPr>
      <w:r w:rsidRPr="006A608C">
        <w:t>Денежно–кредитная политика, основываясь на принципах монетаризма, проводится в дополнение к фискальной политики и является тонкой настройкой экономической конъюнктуры. Денежно-кредитная политика оказывает лишь косвенное влияние на коммерческие банки, но не может напрямую заставить их сократить или расширить кредиты. Монетарные факторы играют существенную роль в развитии современной мировой экономики. Многое при этом зависит от эффективности денежно-кредитной политики. К сожалению, денежно-кредитная политика, проводимая сегодня в нашей стране, недостаточно эффективна и нуждается в серьезной модернизации.</w:t>
      </w:r>
    </w:p>
    <w:p w:rsidR="00F767E9" w:rsidRPr="006A608C" w:rsidRDefault="00003DE7" w:rsidP="00A426D6">
      <w:pPr>
        <w:spacing w:line="360" w:lineRule="auto"/>
        <w:ind w:firstLine="709"/>
        <w:jc w:val="both"/>
      </w:pPr>
      <w:r w:rsidRPr="006A608C">
        <w:t>Основным проводником денежно-кредитной политики является Центральный банк страны, который в настоящее время наиболее активно использует четыре основных инструмента денежно-кредитного регулирования: это регулирование объемов рефинансирования коммерческих банков, политика обязательных резервов, операции на открытом рынке и ограничение кредитования.</w:t>
      </w:r>
    </w:p>
    <w:p w:rsidR="00F767E9" w:rsidRPr="006A608C" w:rsidRDefault="00F767E9" w:rsidP="00A426D6">
      <w:pPr>
        <w:pStyle w:val="FR2"/>
        <w:spacing w:line="360" w:lineRule="auto"/>
        <w:ind w:firstLine="709"/>
        <w:rPr>
          <w:sz w:val="28"/>
          <w:szCs w:val="28"/>
        </w:rPr>
      </w:pPr>
      <w:r w:rsidRPr="006A608C">
        <w:rPr>
          <w:sz w:val="28"/>
          <w:szCs w:val="28"/>
        </w:rPr>
        <w:t>Одно из важнейших направлений деятельности центрального банка -</w:t>
      </w:r>
      <w:r w:rsidRPr="006A608C">
        <w:rPr>
          <w:noProof/>
          <w:sz w:val="28"/>
          <w:szCs w:val="28"/>
        </w:rPr>
        <w:t xml:space="preserve"> </w:t>
      </w:r>
      <w:r w:rsidRPr="006A608C">
        <w:rPr>
          <w:sz w:val="28"/>
          <w:szCs w:val="28"/>
        </w:rPr>
        <w:t>рефинансирование кредитно-банковских институтов, направленное на обеспечение стабильности банковской системы. Инструментарий рефинансирования со стороны центрального банка включает предоставление ссуд под учет векселей и ломбардных кредитов, то есть заимствований на кратко- и среднесрочной основе. Для повышения уровня ликвидности банковских институтов центральные банки осуществляют их рефинансирование с различной степенью интенсивности. При этом использовать кредиты рефинансирования могут только стабильные банковские институты, испытывающие временные трудности.</w:t>
      </w:r>
    </w:p>
    <w:p w:rsidR="00F767E9" w:rsidRPr="006A608C" w:rsidRDefault="00F767E9" w:rsidP="00A426D6">
      <w:pPr>
        <w:pStyle w:val="FR2"/>
        <w:spacing w:line="360" w:lineRule="auto"/>
        <w:ind w:firstLine="709"/>
        <w:rPr>
          <w:sz w:val="28"/>
          <w:szCs w:val="28"/>
        </w:rPr>
      </w:pPr>
      <w:r w:rsidRPr="006A608C">
        <w:rPr>
          <w:sz w:val="28"/>
          <w:szCs w:val="28"/>
        </w:rPr>
        <w:t xml:space="preserve">Одной из важнейших функций центрального банка является участие в управлении государственным долгом, который формируется из обязательств центрального правительства, местных органов власти, предприятий государственного сектора. Управление государственным долгом используется одновременно в качестве способа разрешения проблем государственных финансов и регулирования спроса и предложения на внутреннем денежно-кредитном рынке. </w:t>
      </w:r>
    </w:p>
    <w:p w:rsidR="002E545D" w:rsidRPr="006A608C" w:rsidRDefault="002E545D" w:rsidP="00A426D6">
      <w:pPr>
        <w:spacing w:line="360" w:lineRule="auto"/>
        <w:ind w:firstLine="709"/>
        <w:jc w:val="both"/>
      </w:pPr>
      <w:r w:rsidRPr="006A608C">
        <w:t>В настоящее время стоимость денег в экономике формируется в условиях высокого уровня ликвидности, складывающегося вследствие поступления больших объемов валютной выручки и активных валютных интервенций Банка России. По мере снижения объемов интервенций Банка России на внутреннем валютном рынке все большее влияние на формирование процентных ставок денежного рынка будут оказывать ставки по рыночным инструментам рефинансирования банков (операциям прямого РЕПО). Снижение ставки рефинансирования в соответствии с уменьшением темпов инфляции будет способствовать поддержанию стабильного значения реальной процентной ставки и снижению инфляционных ожиданий участников рынка. В то же время на уровень ставок по операциям связывания ликвидности будет оказывать влияние дифференциал внутренних и внешних процентных ставок.</w:t>
      </w:r>
    </w:p>
    <w:p w:rsidR="002E545D" w:rsidRPr="006A608C" w:rsidRDefault="002E545D" w:rsidP="00A426D6">
      <w:pPr>
        <w:spacing w:line="360" w:lineRule="auto"/>
        <w:ind w:firstLine="709"/>
        <w:jc w:val="both"/>
      </w:pPr>
      <w:r w:rsidRPr="006A608C">
        <w:t>Для поддержания макроэкономической стабильности Банк России продолжит применять и развивать элементы режима инфляционного таргетирования, наиболее важными из которых являются приоритет цели по снижению инфляции над другими целями и среднесрочный характер ее установления. Для введения инфляционного таргетирования в полном объеме Банку России потребуется перейти к режиму свободно плавающего валютного курса, а также реализовать меры, направленные на использование процентной ставки в качестве главного инструмента денежной политики, выполняющего сигнальную функцию и влияющего на монетарные условия функционирования экономики.</w:t>
      </w:r>
    </w:p>
    <w:p w:rsidR="002E545D" w:rsidRPr="006A608C" w:rsidRDefault="002E545D" w:rsidP="00A426D6">
      <w:pPr>
        <w:spacing w:line="360" w:lineRule="auto"/>
        <w:ind w:firstLine="709"/>
        <w:jc w:val="both"/>
      </w:pPr>
      <w:r w:rsidRPr="006A608C">
        <w:t>Одним из ключевых условий успешного применения режима инфляционного таргетирования является способность центрального банка влиять на инфляционные ожидания экономических агентов.</w:t>
      </w:r>
    </w:p>
    <w:p w:rsidR="00F767E9" w:rsidRPr="006A608C" w:rsidRDefault="00F767E9" w:rsidP="00A426D6">
      <w:pPr>
        <w:spacing w:line="360" w:lineRule="auto"/>
        <w:ind w:firstLine="709"/>
        <w:jc w:val="both"/>
      </w:pPr>
      <w:r w:rsidRPr="006A608C">
        <w:t>Принципиально важно не просто снижать темпы инфляции, но и повышать инвестиционное обеспечение отечественной экономики. Инвестиции при этом не должны простаивать. Нерационально, когда значительная часть наличных денег постоянно находится в наличном обороте и не используется в инвестиционных целях. Для повышения деловой активности в стране необходимы четко разработанная государственная стратегия и промышленная политика, подкрепленные источниками финансирования, которые давали бы основу для эффективной деятельности как товаропроизводителям, так и банкам. Политика, допускающая хождение в хозяйственном обороте платежных средств исключительно для целей обмена, не подкрепляющая увеличение товарного предложения, создает опасность роста инфляции.</w:t>
      </w:r>
    </w:p>
    <w:p w:rsidR="002A30E6" w:rsidRPr="006A608C" w:rsidRDefault="002A30E6" w:rsidP="00A426D6">
      <w:pPr>
        <w:spacing w:line="360" w:lineRule="auto"/>
        <w:ind w:firstLine="709"/>
        <w:jc w:val="both"/>
      </w:pPr>
      <w:r w:rsidRPr="006A608C">
        <w:t>При проведении денежно-кредитной политики Банк России предполагает использовать не только все имеющиеся в настоящее время в его распоряжении инструменты, но и расширить их состав, сделав набор располагаемых методов контроля и управления денежным предложением полностью адекватным складывающимся общеэкономическим условиям.</w:t>
      </w:r>
      <w:r w:rsidR="006A608C">
        <w:t xml:space="preserve"> </w:t>
      </w:r>
      <w:r w:rsidRPr="006A608C">
        <w:t>Однако возможность и эффективность применения конкретных инструментов денежно-кредитного регулирования в значительной степени будут связаны с восстановлением и развитием сегментов финансового рынка и укреплением банковской системы. Достижение поставленных целей также будет зависеть от</w:t>
      </w:r>
      <w:r w:rsidR="006A608C">
        <w:t xml:space="preserve"> </w:t>
      </w:r>
      <w:r w:rsidRPr="006A608C">
        <w:t>наличия соответствующих условий, создаваемых функционированием всех секторов экономики и проведением необходимых институциональных преобразований.</w:t>
      </w:r>
    </w:p>
    <w:p w:rsidR="00966893" w:rsidRPr="00F9497A" w:rsidRDefault="00F9497A" w:rsidP="00A426D6">
      <w:pPr>
        <w:spacing w:line="360" w:lineRule="auto"/>
        <w:ind w:firstLine="709"/>
        <w:jc w:val="center"/>
        <w:rPr>
          <w:b/>
        </w:rPr>
      </w:pPr>
      <w:r>
        <w:br w:type="page"/>
      </w:r>
      <w:r w:rsidR="00966893" w:rsidRPr="00F9497A">
        <w:rPr>
          <w:b/>
        </w:rPr>
        <w:t>Приложение</w:t>
      </w:r>
      <w:r w:rsidR="002A30E6" w:rsidRPr="00F9497A">
        <w:rPr>
          <w:b/>
        </w:rPr>
        <w:t xml:space="preserve"> 1</w:t>
      </w:r>
    </w:p>
    <w:p w:rsidR="00F9497A" w:rsidRDefault="00F9497A" w:rsidP="00A426D6">
      <w:pPr>
        <w:spacing w:line="360" w:lineRule="auto"/>
        <w:ind w:firstLine="709"/>
        <w:jc w:val="both"/>
        <w:rPr>
          <w:lang w:val="en-US"/>
        </w:rPr>
      </w:pPr>
    </w:p>
    <w:p w:rsidR="00731EF3" w:rsidRPr="00F9497A" w:rsidRDefault="00731EF3" w:rsidP="00A426D6">
      <w:pPr>
        <w:spacing w:line="360" w:lineRule="auto"/>
        <w:ind w:firstLine="709"/>
        <w:jc w:val="both"/>
      </w:pPr>
      <w:r w:rsidRPr="006A608C">
        <w:t>Инструменты денежно-кредитной политики Банка России в 2007 году</w:t>
      </w:r>
    </w:p>
    <w:p w:rsidR="00F9497A" w:rsidRPr="00F9497A" w:rsidRDefault="00F9497A" w:rsidP="00A426D6">
      <w:pPr>
        <w:spacing w:line="360" w:lineRule="auto"/>
        <w:ind w:firstLine="709"/>
        <w:jc w:val="both"/>
      </w:pPr>
    </w:p>
    <w:tbl>
      <w:tblPr>
        <w:tblW w:w="9575" w:type="dxa"/>
        <w:jc w:val="center"/>
        <w:tblLayout w:type="fixed"/>
        <w:tblCellMar>
          <w:left w:w="40" w:type="dxa"/>
          <w:right w:w="40" w:type="dxa"/>
        </w:tblCellMar>
        <w:tblLook w:val="0000" w:firstRow="0" w:lastRow="0" w:firstColumn="0" w:lastColumn="0" w:noHBand="0" w:noVBand="0"/>
      </w:tblPr>
      <w:tblGrid>
        <w:gridCol w:w="1325"/>
        <w:gridCol w:w="1565"/>
        <w:gridCol w:w="2266"/>
        <w:gridCol w:w="1670"/>
        <w:gridCol w:w="2749"/>
      </w:tblGrid>
      <w:tr w:rsidR="00731EF3" w:rsidRPr="00F9497A" w:rsidTr="00F9497A">
        <w:trPr>
          <w:trHeight w:hRule="exact" w:val="970"/>
          <w:jc w:val="center"/>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z w:val="20"/>
                <w:szCs w:val="20"/>
              </w:rPr>
              <w:t xml:space="preserve">Вид </w:t>
            </w:r>
            <w:r w:rsidRPr="00F9497A">
              <w:rPr>
                <w:spacing w:val="2"/>
                <w:sz w:val="20"/>
                <w:szCs w:val="20"/>
              </w:rPr>
              <w:t>инструмента</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1"/>
                <w:sz w:val="20"/>
                <w:szCs w:val="20"/>
              </w:rPr>
              <w:t>Назначение</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Инструмент</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 xml:space="preserve">Срок </w:t>
            </w:r>
            <w:r w:rsidRPr="00F9497A">
              <w:rPr>
                <w:spacing w:val="1"/>
                <w:sz w:val="20"/>
                <w:szCs w:val="20"/>
              </w:rPr>
              <w:t xml:space="preserve">предоставления/ </w:t>
            </w:r>
            <w:r w:rsidRPr="00F9497A">
              <w:rPr>
                <w:spacing w:val="2"/>
                <w:sz w:val="20"/>
                <w:szCs w:val="20"/>
              </w:rPr>
              <w:t xml:space="preserve">абсорбирования </w:t>
            </w:r>
            <w:r w:rsidRPr="00F9497A">
              <w:rPr>
                <w:spacing w:val="1"/>
                <w:sz w:val="20"/>
                <w:szCs w:val="20"/>
              </w:rPr>
              <w:t>средств</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Процентная ставка, % годовых</w:t>
            </w:r>
          </w:p>
        </w:tc>
      </w:tr>
      <w:tr w:rsidR="00731EF3" w:rsidRPr="00F9497A" w:rsidTr="00F9497A">
        <w:trPr>
          <w:trHeight w:hRule="exact" w:val="948"/>
          <w:jc w:val="center"/>
        </w:trPr>
        <w:tc>
          <w:tcPr>
            <w:tcW w:w="1325" w:type="dxa"/>
            <w:vMerge w:val="restart"/>
            <w:tcBorders>
              <w:top w:val="single" w:sz="6" w:space="0" w:color="auto"/>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3"/>
                <w:sz w:val="20"/>
                <w:szCs w:val="20"/>
              </w:rPr>
              <w:t xml:space="preserve">Операции </w:t>
            </w:r>
            <w:r w:rsidRPr="00F9497A">
              <w:rPr>
                <w:spacing w:val="2"/>
                <w:sz w:val="20"/>
                <w:szCs w:val="20"/>
              </w:rPr>
              <w:t>на открытом рынке</w:t>
            </w:r>
          </w:p>
        </w:tc>
        <w:tc>
          <w:tcPr>
            <w:tcW w:w="1565" w:type="dxa"/>
            <w:vMerge w:val="restart"/>
            <w:tcBorders>
              <w:top w:val="single" w:sz="6" w:space="0" w:color="auto"/>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Предоставление ликвидности</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Ломбардные аукционы</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1"/>
                <w:sz w:val="20"/>
                <w:szCs w:val="20"/>
              </w:rPr>
              <w:t>2 недели</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 xml:space="preserve">Устанавливается по результатам </w:t>
            </w:r>
            <w:r w:rsidRPr="00F9497A">
              <w:rPr>
                <w:spacing w:val="3"/>
                <w:sz w:val="20"/>
                <w:szCs w:val="20"/>
              </w:rPr>
              <w:t>аукциона (не ниже 7%)</w:t>
            </w:r>
          </w:p>
        </w:tc>
      </w:tr>
      <w:tr w:rsidR="00731EF3" w:rsidRPr="00F9497A" w:rsidTr="00F9497A">
        <w:trPr>
          <w:trHeight w:hRule="exact" w:val="970"/>
          <w:jc w:val="center"/>
        </w:trPr>
        <w:tc>
          <w:tcPr>
            <w:tcW w:w="132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56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3"/>
                <w:sz w:val="20"/>
                <w:szCs w:val="20"/>
              </w:rPr>
              <w:t>Прямое РЕП О</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 xml:space="preserve">От 1 до 7 дней, </w:t>
            </w:r>
            <w:r w:rsidRPr="00F9497A">
              <w:rPr>
                <w:spacing w:val="-2"/>
                <w:sz w:val="20"/>
                <w:szCs w:val="20"/>
              </w:rPr>
              <w:t xml:space="preserve">1 неделя, </w:t>
            </w:r>
            <w:r w:rsidRPr="00F9497A">
              <w:rPr>
                <w:spacing w:val="1"/>
                <w:sz w:val="20"/>
                <w:szCs w:val="20"/>
              </w:rPr>
              <w:t>3 месяца</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3"/>
                <w:sz w:val="20"/>
                <w:szCs w:val="20"/>
              </w:rPr>
              <w:t xml:space="preserve">Устанавливается по результатам </w:t>
            </w:r>
            <w:r w:rsidRPr="00F9497A">
              <w:rPr>
                <w:spacing w:val="2"/>
                <w:sz w:val="20"/>
                <w:szCs w:val="20"/>
              </w:rPr>
              <w:t>аукциона (от 1 до 7 дней — не ни</w:t>
            </w:r>
            <w:r w:rsidRPr="00F9497A">
              <w:rPr>
                <w:spacing w:val="3"/>
                <w:sz w:val="20"/>
                <w:szCs w:val="20"/>
              </w:rPr>
              <w:t>же 6%, 1 неделя — не ниже 6.5%, 3 месяца — не ниже 9%)</w:t>
            </w:r>
          </w:p>
        </w:tc>
      </w:tr>
      <w:tr w:rsidR="00731EF3" w:rsidRPr="00F9497A" w:rsidTr="00F9497A">
        <w:trPr>
          <w:trHeight w:hRule="exact" w:val="653"/>
          <w:jc w:val="center"/>
        </w:trPr>
        <w:tc>
          <w:tcPr>
            <w:tcW w:w="132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56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1"/>
                <w:sz w:val="20"/>
                <w:szCs w:val="20"/>
              </w:rPr>
              <w:t xml:space="preserve">Покупка государственных </w:t>
            </w:r>
            <w:r w:rsidRPr="00F9497A">
              <w:rPr>
                <w:spacing w:val="2"/>
                <w:sz w:val="20"/>
                <w:szCs w:val="20"/>
              </w:rPr>
              <w:t>ценных бумаг и ОБР</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z w:val="20"/>
                <w:szCs w:val="20"/>
              </w:rPr>
              <w:t xml:space="preserve">Аутрайтные </w:t>
            </w:r>
            <w:r w:rsidRPr="00F9497A">
              <w:rPr>
                <w:spacing w:val="1"/>
                <w:sz w:val="20"/>
                <w:szCs w:val="20"/>
              </w:rPr>
              <w:t>операции*</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z w:val="20"/>
                <w:szCs w:val="20"/>
              </w:rPr>
              <w:t>—</w:t>
            </w:r>
          </w:p>
        </w:tc>
      </w:tr>
      <w:tr w:rsidR="00731EF3" w:rsidRPr="00F9497A" w:rsidTr="00F9497A">
        <w:trPr>
          <w:trHeight w:hRule="exact" w:val="634"/>
          <w:jc w:val="center"/>
        </w:trPr>
        <w:tc>
          <w:tcPr>
            <w:tcW w:w="132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565" w:type="dxa"/>
            <w:tcBorders>
              <w:top w:val="nil"/>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 xml:space="preserve">Покупка иностранной </w:t>
            </w:r>
            <w:r w:rsidRPr="00F9497A">
              <w:rPr>
                <w:spacing w:val="1"/>
                <w:sz w:val="20"/>
                <w:szCs w:val="20"/>
              </w:rPr>
              <w:t>валюты</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z w:val="20"/>
                <w:szCs w:val="20"/>
              </w:rPr>
              <w:t>—</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z w:val="20"/>
                <w:szCs w:val="20"/>
              </w:rPr>
              <w:t>—</w:t>
            </w:r>
          </w:p>
        </w:tc>
      </w:tr>
      <w:tr w:rsidR="00731EF3" w:rsidRPr="00F9497A" w:rsidTr="00F9497A">
        <w:trPr>
          <w:trHeight w:hRule="exact" w:val="1259"/>
          <w:jc w:val="center"/>
        </w:trPr>
        <w:tc>
          <w:tcPr>
            <w:tcW w:w="132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565" w:type="dxa"/>
            <w:vMerge w:val="restart"/>
            <w:tcBorders>
              <w:top w:val="single" w:sz="6" w:space="0" w:color="auto"/>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3"/>
                <w:sz w:val="20"/>
                <w:szCs w:val="20"/>
              </w:rPr>
              <w:t xml:space="preserve">Абсорбирование </w:t>
            </w:r>
            <w:r w:rsidRPr="00F9497A">
              <w:rPr>
                <w:spacing w:val="4"/>
                <w:sz w:val="20"/>
                <w:szCs w:val="20"/>
              </w:rPr>
              <w:t>ликвидности</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Депозитные аукционы</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1"/>
                <w:sz w:val="20"/>
                <w:szCs w:val="20"/>
              </w:rPr>
              <w:t xml:space="preserve">4 недели, </w:t>
            </w:r>
            <w:r w:rsidRPr="00F9497A">
              <w:rPr>
                <w:spacing w:val="2"/>
                <w:sz w:val="20"/>
                <w:szCs w:val="20"/>
              </w:rPr>
              <w:t>3 месяца</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3"/>
                <w:sz w:val="20"/>
                <w:szCs w:val="20"/>
              </w:rPr>
              <w:t xml:space="preserve">Устанавливается по результатам </w:t>
            </w:r>
            <w:r w:rsidRPr="00F9497A">
              <w:rPr>
                <w:spacing w:val="2"/>
                <w:sz w:val="20"/>
                <w:szCs w:val="20"/>
              </w:rPr>
              <w:t xml:space="preserve">аукциона (4 недели — не выше 9%, </w:t>
            </w:r>
            <w:r w:rsidRPr="00F9497A">
              <w:rPr>
                <w:spacing w:val="3"/>
                <w:sz w:val="20"/>
                <w:szCs w:val="20"/>
              </w:rPr>
              <w:t>3 месяца — не выше 10%)</w:t>
            </w:r>
          </w:p>
        </w:tc>
      </w:tr>
      <w:tr w:rsidR="00731EF3" w:rsidRPr="00F9497A" w:rsidTr="00F9497A">
        <w:trPr>
          <w:trHeight w:hRule="exact" w:val="643"/>
          <w:jc w:val="center"/>
        </w:trPr>
        <w:tc>
          <w:tcPr>
            <w:tcW w:w="132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56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Облигации Банка России</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До 6 месяцев</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 xml:space="preserve">Устанавливается по результатам </w:t>
            </w:r>
            <w:r w:rsidRPr="00F9497A">
              <w:rPr>
                <w:spacing w:val="1"/>
                <w:sz w:val="20"/>
                <w:szCs w:val="20"/>
              </w:rPr>
              <w:t>аукциона</w:t>
            </w:r>
          </w:p>
        </w:tc>
      </w:tr>
      <w:tr w:rsidR="00731EF3" w:rsidRPr="00F9497A" w:rsidTr="00F9497A">
        <w:trPr>
          <w:trHeight w:hRule="exact" w:val="653"/>
          <w:jc w:val="center"/>
        </w:trPr>
        <w:tc>
          <w:tcPr>
            <w:tcW w:w="132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56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Продажа государственных ценных бумаг</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z w:val="20"/>
                <w:szCs w:val="20"/>
              </w:rPr>
              <w:t xml:space="preserve">Аутрайтные </w:t>
            </w:r>
            <w:r w:rsidRPr="00F9497A">
              <w:rPr>
                <w:spacing w:val="1"/>
                <w:sz w:val="20"/>
                <w:szCs w:val="20"/>
              </w:rPr>
              <w:t>операции*</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z w:val="20"/>
                <w:szCs w:val="20"/>
              </w:rPr>
              <w:t>—</w:t>
            </w:r>
          </w:p>
        </w:tc>
      </w:tr>
      <w:tr w:rsidR="00731EF3" w:rsidRPr="00F9497A" w:rsidTr="00F9497A">
        <w:trPr>
          <w:trHeight w:hRule="exact" w:val="643"/>
          <w:jc w:val="center"/>
        </w:trPr>
        <w:tc>
          <w:tcPr>
            <w:tcW w:w="1325" w:type="dxa"/>
            <w:tcBorders>
              <w:top w:val="nil"/>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565" w:type="dxa"/>
            <w:tcBorders>
              <w:top w:val="nil"/>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 xml:space="preserve">Продажа иностранной </w:t>
            </w:r>
            <w:r w:rsidRPr="00F9497A">
              <w:rPr>
                <w:spacing w:val="-2"/>
                <w:sz w:val="20"/>
                <w:szCs w:val="20"/>
              </w:rPr>
              <w:t>вал</w:t>
            </w:r>
            <w:r w:rsidR="00F9497A">
              <w:rPr>
                <w:spacing w:val="-2"/>
                <w:sz w:val="20"/>
                <w:szCs w:val="20"/>
              </w:rPr>
              <w:t>ют</w:t>
            </w:r>
            <w:r w:rsidRPr="00F9497A">
              <w:rPr>
                <w:spacing w:val="-2"/>
                <w:sz w:val="20"/>
                <w:szCs w:val="20"/>
              </w:rPr>
              <w:t>ы</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z w:val="20"/>
                <w:szCs w:val="20"/>
              </w:rPr>
              <w:t>—</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z w:val="20"/>
                <w:szCs w:val="20"/>
              </w:rPr>
              <w:t>—</w:t>
            </w:r>
          </w:p>
        </w:tc>
      </w:tr>
      <w:tr w:rsidR="00731EF3" w:rsidRPr="00F9497A" w:rsidTr="00F9497A">
        <w:trPr>
          <w:trHeight w:hRule="exact" w:val="365"/>
          <w:jc w:val="center"/>
        </w:trPr>
        <w:tc>
          <w:tcPr>
            <w:tcW w:w="1325" w:type="dxa"/>
            <w:vMerge w:val="restart"/>
            <w:tcBorders>
              <w:top w:val="single" w:sz="6" w:space="0" w:color="auto"/>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 xml:space="preserve">Операции </w:t>
            </w:r>
            <w:r w:rsidRPr="00F9497A">
              <w:rPr>
                <w:spacing w:val="1"/>
                <w:sz w:val="20"/>
                <w:szCs w:val="20"/>
              </w:rPr>
              <w:t xml:space="preserve">постоянного </w:t>
            </w:r>
            <w:r w:rsidRPr="00F9497A">
              <w:rPr>
                <w:spacing w:val="2"/>
                <w:sz w:val="20"/>
                <w:szCs w:val="20"/>
              </w:rPr>
              <w:t>действия</w:t>
            </w:r>
          </w:p>
        </w:tc>
        <w:tc>
          <w:tcPr>
            <w:tcW w:w="1565" w:type="dxa"/>
            <w:vMerge w:val="restart"/>
            <w:tcBorders>
              <w:top w:val="single" w:sz="6" w:space="0" w:color="auto"/>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 xml:space="preserve">Предоставление </w:t>
            </w:r>
            <w:r w:rsidRPr="00F9497A">
              <w:rPr>
                <w:spacing w:val="3"/>
                <w:sz w:val="20"/>
                <w:szCs w:val="20"/>
              </w:rPr>
              <w:t>ликвидности</w:t>
            </w:r>
          </w:p>
        </w:tc>
        <w:tc>
          <w:tcPr>
            <w:tcW w:w="2266" w:type="dxa"/>
            <w:vMerge w:val="restart"/>
            <w:tcBorders>
              <w:top w:val="single" w:sz="6" w:space="0" w:color="auto"/>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r w:rsidRPr="00F9497A">
              <w:rPr>
                <w:sz w:val="20"/>
                <w:szCs w:val="20"/>
              </w:rPr>
              <w:t>Кредиты</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z w:val="20"/>
                <w:szCs w:val="20"/>
              </w:rPr>
              <w:t>Внутридневные</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z w:val="20"/>
                <w:szCs w:val="20"/>
              </w:rPr>
              <w:t>0</w:t>
            </w:r>
          </w:p>
        </w:tc>
      </w:tr>
      <w:tr w:rsidR="00731EF3" w:rsidRPr="00F9497A" w:rsidTr="00F9497A">
        <w:trPr>
          <w:trHeight w:hRule="exact" w:val="939"/>
          <w:jc w:val="center"/>
        </w:trPr>
        <w:tc>
          <w:tcPr>
            <w:tcW w:w="132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56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2266" w:type="dxa"/>
            <w:tcBorders>
              <w:top w:val="nil"/>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Овернайт</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3"/>
                <w:sz w:val="20"/>
                <w:szCs w:val="20"/>
              </w:rPr>
              <w:t xml:space="preserve">Фиксированная — 10,0% </w:t>
            </w:r>
            <w:r w:rsidRPr="00F9497A">
              <w:rPr>
                <w:spacing w:val="6"/>
                <w:sz w:val="20"/>
                <w:szCs w:val="20"/>
              </w:rPr>
              <w:t xml:space="preserve">(до 19.06.2007— 10,5%, </w:t>
            </w:r>
            <w:r w:rsidRPr="00F9497A">
              <w:rPr>
                <w:spacing w:val="3"/>
                <w:sz w:val="20"/>
                <w:szCs w:val="20"/>
              </w:rPr>
              <w:t xml:space="preserve">до 28.01.2007— </w:t>
            </w:r>
            <w:r w:rsidRPr="00F9497A">
              <w:rPr>
                <w:spacing w:val="15"/>
                <w:sz w:val="20"/>
                <w:szCs w:val="20"/>
              </w:rPr>
              <w:t>11,0%)</w:t>
            </w:r>
          </w:p>
        </w:tc>
      </w:tr>
      <w:tr w:rsidR="00731EF3" w:rsidRPr="00F9497A" w:rsidTr="00F9497A">
        <w:trPr>
          <w:trHeight w:hRule="exact" w:val="1021"/>
          <w:jc w:val="center"/>
        </w:trPr>
        <w:tc>
          <w:tcPr>
            <w:tcW w:w="132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56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 xml:space="preserve">Ломбардные кредиты </w:t>
            </w:r>
            <w:r w:rsidRPr="00F9497A">
              <w:rPr>
                <w:spacing w:val="3"/>
                <w:sz w:val="20"/>
                <w:szCs w:val="20"/>
              </w:rPr>
              <w:t>(по фиксированной процентной ставке)</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1"/>
                <w:sz w:val="20"/>
                <w:szCs w:val="20"/>
              </w:rPr>
              <w:t>7 дней</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z w:val="20"/>
                <w:szCs w:val="20"/>
              </w:rPr>
              <w:t>**</w:t>
            </w:r>
          </w:p>
        </w:tc>
      </w:tr>
      <w:tr w:rsidR="00731EF3" w:rsidRPr="00F9497A" w:rsidTr="00F9497A">
        <w:trPr>
          <w:trHeight w:hRule="exact" w:val="967"/>
          <w:jc w:val="center"/>
        </w:trPr>
        <w:tc>
          <w:tcPr>
            <w:tcW w:w="132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565" w:type="dxa"/>
            <w:tcBorders>
              <w:top w:val="nil"/>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Валютные свопы</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Овернайт</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3"/>
                <w:sz w:val="20"/>
                <w:szCs w:val="20"/>
              </w:rPr>
              <w:t xml:space="preserve">Фиксированная — 10,0% </w:t>
            </w:r>
            <w:r w:rsidRPr="00F9497A">
              <w:rPr>
                <w:spacing w:val="6"/>
                <w:sz w:val="20"/>
                <w:szCs w:val="20"/>
              </w:rPr>
              <w:t xml:space="preserve">(до 19.06.2007— 10,5%, </w:t>
            </w:r>
            <w:r w:rsidRPr="00F9497A">
              <w:rPr>
                <w:spacing w:val="3"/>
                <w:sz w:val="20"/>
                <w:szCs w:val="20"/>
              </w:rPr>
              <w:t xml:space="preserve">до 28.01.2007— </w:t>
            </w:r>
            <w:r w:rsidRPr="00F9497A">
              <w:rPr>
                <w:spacing w:val="15"/>
                <w:sz w:val="20"/>
                <w:szCs w:val="20"/>
              </w:rPr>
              <w:t>11,0%)</w:t>
            </w:r>
          </w:p>
        </w:tc>
      </w:tr>
      <w:tr w:rsidR="00731EF3" w:rsidRPr="00F9497A" w:rsidTr="00F9497A">
        <w:trPr>
          <w:trHeight w:hRule="exact" w:val="653"/>
          <w:jc w:val="center"/>
        </w:trPr>
        <w:tc>
          <w:tcPr>
            <w:tcW w:w="132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565" w:type="dxa"/>
            <w:vMerge w:val="restart"/>
            <w:tcBorders>
              <w:top w:val="single" w:sz="6" w:space="0" w:color="auto"/>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Абсорбирование</w:t>
            </w:r>
          </w:p>
          <w:p w:rsidR="00731EF3" w:rsidRPr="00F9497A" w:rsidRDefault="00731EF3" w:rsidP="00A426D6">
            <w:pPr>
              <w:spacing w:line="360" w:lineRule="auto"/>
              <w:rPr>
                <w:sz w:val="20"/>
                <w:szCs w:val="20"/>
              </w:rPr>
            </w:pPr>
            <w:r w:rsidRPr="00F9497A">
              <w:rPr>
                <w:spacing w:val="-5"/>
                <w:sz w:val="20"/>
                <w:szCs w:val="20"/>
              </w:rPr>
              <w:t>ЛИКВИДНОСТИ</w:t>
            </w:r>
          </w:p>
        </w:tc>
        <w:tc>
          <w:tcPr>
            <w:tcW w:w="2266" w:type="dxa"/>
            <w:vMerge w:val="restart"/>
            <w:tcBorders>
              <w:top w:val="single" w:sz="6" w:space="0" w:color="auto"/>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Депозитные операции</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3"/>
                <w:sz w:val="20"/>
                <w:szCs w:val="20"/>
              </w:rPr>
              <w:t>1 день</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3"/>
                <w:sz w:val="20"/>
                <w:szCs w:val="20"/>
              </w:rPr>
              <w:t>Фиксированная — 2,5% (до 2.04.2007 — 2,25%)</w:t>
            </w:r>
          </w:p>
        </w:tc>
      </w:tr>
      <w:tr w:rsidR="00731EF3" w:rsidRPr="00F9497A" w:rsidTr="00F9497A">
        <w:trPr>
          <w:trHeight w:hRule="exact" w:val="634"/>
          <w:jc w:val="center"/>
        </w:trPr>
        <w:tc>
          <w:tcPr>
            <w:tcW w:w="132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565"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2266" w:type="dxa"/>
            <w:vMerge w:val="restart"/>
            <w:tcBorders>
              <w:top w:val="nil"/>
              <w:left w:val="single" w:sz="6" w:space="0" w:color="auto"/>
              <w:bottom w:val="nil"/>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3"/>
                <w:sz w:val="20"/>
                <w:szCs w:val="20"/>
              </w:rPr>
              <w:t>1 неделя</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3"/>
                <w:sz w:val="20"/>
                <w:szCs w:val="20"/>
              </w:rPr>
              <w:t xml:space="preserve">Фиксированная — 3,0% </w:t>
            </w:r>
            <w:r w:rsidRPr="00F9497A">
              <w:rPr>
                <w:spacing w:val="6"/>
                <w:sz w:val="20"/>
                <w:szCs w:val="20"/>
              </w:rPr>
              <w:t>(до 2.04.2007 —2,75%)</w:t>
            </w:r>
          </w:p>
        </w:tc>
      </w:tr>
      <w:tr w:rsidR="00731EF3" w:rsidRPr="00F9497A" w:rsidTr="00F9497A">
        <w:trPr>
          <w:trHeight w:hRule="exact" w:val="672"/>
          <w:jc w:val="center"/>
        </w:trPr>
        <w:tc>
          <w:tcPr>
            <w:tcW w:w="1325" w:type="dxa"/>
            <w:tcBorders>
              <w:top w:val="nil"/>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565" w:type="dxa"/>
            <w:tcBorders>
              <w:top w:val="nil"/>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2266" w:type="dxa"/>
            <w:tcBorders>
              <w:top w:val="nil"/>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p>
          <w:p w:rsidR="00731EF3" w:rsidRPr="00F9497A" w:rsidRDefault="00731EF3" w:rsidP="00A426D6">
            <w:pPr>
              <w:spacing w:line="360" w:lineRule="auto"/>
              <w:rPr>
                <w:sz w:val="20"/>
                <w:szCs w:val="20"/>
              </w:rPr>
            </w:pP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2"/>
                <w:sz w:val="20"/>
                <w:szCs w:val="20"/>
              </w:rPr>
              <w:t>До востребования</w:t>
            </w:r>
          </w:p>
        </w:tc>
        <w:tc>
          <w:tcPr>
            <w:tcW w:w="2749" w:type="dxa"/>
            <w:tcBorders>
              <w:top w:val="single" w:sz="6" w:space="0" w:color="auto"/>
              <w:left w:val="single" w:sz="6" w:space="0" w:color="auto"/>
              <w:bottom w:val="single" w:sz="6" w:space="0" w:color="auto"/>
              <w:right w:val="single" w:sz="6" w:space="0" w:color="auto"/>
            </w:tcBorders>
            <w:shd w:val="clear" w:color="auto" w:fill="FFFFFF"/>
          </w:tcPr>
          <w:p w:rsidR="00731EF3" w:rsidRPr="00F9497A" w:rsidRDefault="00731EF3" w:rsidP="00A426D6">
            <w:pPr>
              <w:spacing w:line="360" w:lineRule="auto"/>
              <w:rPr>
                <w:sz w:val="20"/>
                <w:szCs w:val="20"/>
              </w:rPr>
            </w:pPr>
            <w:r w:rsidRPr="00F9497A">
              <w:rPr>
                <w:spacing w:val="3"/>
                <w:sz w:val="20"/>
                <w:szCs w:val="20"/>
              </w:rPr>
              <w:t>Фиксированная — 2,5% (до 2.04.2007 — 2,25%)</w:t>
            </w:r>
          </w:p>
        </w:tc>
      </w:tr>
    </w:tbl>
    <w:p w:rsidR="00731EF3" w:rsidRPr="006A608C" w:rsidRDefault="00731EF3" w:rsidP="00A426D6">
      <w:pPr>
        <w:spacing w:line="360" w:lineRule="auto"/>
        <w:ind w:firstLine="709"/>
        <w:jc w:val="both"/>
      </w:pPr>
    </w:p>
    <w:p w:rsidR="00731EF3" w:rsidRPr="006A608C" w:rsidRDefault="00731EF3" w:rsidP="00A426D6">
      <w:pPr>
        <w:spacing w:line="360" w:lineRule="auto"/>
        <w:ind w:firstLine="709"/>
        <w:jc w:val="both"/>
      </w:pPr>
      <w:r w:rsidRPr="006A608C">
        <w:t>* Продажа/покупка государственных ценных бумаг из своего портфеля и ОБР ост обязательства обратного выкупа/продажи.</w:t>
      </w:r>
    </w:p>
    <w:p w:rsidR="00731EF3" w:rsidRPr="006A608C" w:rsidRDefault="00731EF3" w:rsidP="00A426D6">
      <w:pPr>
        <w:spacing w:line="360" w:lineRule="auto"/>
        <w:ind w:firstLine="709"/>
        <w:jc w:val="both"/>
      </w:pPr>
      <w:r w:rsidRPr="006A608C">
        <w:t>** По средневзвешенной ставке ломбардного аукциона. В случае, если два ломбардных аукциона подряд признаны несостоявшимися, — по ставке рефинансирования Банка России.</w:t>
      </w:r>
    </w:p>
    <w:p w:rsidR="002A30E6" w:rsidRPr="00F9497A" w:rsidRDefault="00F9497A" w:rsidP="00A426D6">
      <w:pPr>
        <w:spacing w:line="360" w:lineRule="auto"/>
        <w:ind w:firstLine="709"/>
        <w:jc w:val="center"/>
        <w:rPr>
          <w:b/>
        </w:rPr>
      </w:pPr>
      <w:r>
        <w:br w:type="page"/>
      </w:r>
      <w:r w:rsidR="002A30E6" w:rsidRPr="00F9497A">
        <w:rPr>
          <w:b/>
        </w:rPr>
        <w:t>Приложение 2</w:t>
      </w:r>
    </w:p>
    <w:p w:rsidR="00F9497A" w:rsidRPr="006A608C" w:rsidRDefault="00F9497A" w:rsidP="00A426D6">
      <w:pPr>
        <w:spacing w:line="360" w:lineRule="auto"/>
        <w:ind w:firstLine="709"/>
        <w:jc w:val="both"/>
      </w:pPr>
    </w:p>
    <w:p w:rsidR="0058674C" w:rsidRPr="006A608C" w:rsidRDefault="0058674C" w:rsidP="00A426D6">
      <w:pPr>
        <w:tabs>
          <w:tab w:val="left" w:pos="934"/>
        </w:tabs>
        <w:spacing w:line="360" w:lineRule="auto"/>
        <w:ind w:firstLine="709"/>
        <w:jc w:val="both"/>
      </w:pPr>
      <w:r w:rsidRPr="006A608C">
        <w:t xml:space="preserve">Прогноз платежного баланса РФ на 2007-2009 годы </w:t>
      </w:r>
    </w:p>
    <w:p w:rsidR="002A30E6" w:rsidRPr="006A608C" w:rsidRDefault="0058674C" w:rsidP="00A426D6">
      <w:pPr>
        <w:tabs>
          <w:tab w:val="left" w:pos="934"/>
        </w:tabs>
        <w:spacing w:line="360" w:lineRule="auto"/>
        <w:ind w:firstLine="709"/>
        <w:jc w:val="both"/>
      </w:pPr>
      <w:r w:rsidRPr="006A608C">
        <w:t>(млрд долларов США)</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892"/>
        <w:gridCol w:w="892"/>
        <w:gridCol w:w="892"/>
        <w:gridCol w:w="887"/>
        <w:gridCol w:w="892"/>
        <w:gridCol w:w="957"/>
        <w:gridCol w:w="957"/>
      </w:tblGrid>
      <w:tr w:rsidR="00261073" w:rsidRPr="00C043F9" w:rsidTr="00C043F9">
        <w:trPr>
          <w:jc w:val="center"/>
        </w:trPr>
        <w:tc>
          <w:tcPr>
            <w:tcW w:w="2310" w:type="dxa"/>
            <w:shd w:val="clear" w:color="auto" w:fill="auto"/>
          </w:tcPr>
          <w:p w:rsidR="00261073" w:rsidRPr="00C043F9" w:rsidRDefault="00261073" w:rsidP="00C043F9">
            <w:pPr>
              <w:spacing w:line="360" w:lineRule="auto"/>
              <w:rPr>
                <w:sz w:val="20"/>
                <w:szCs w:val="20"/>
              </w:rPr>
            </w:pP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2007</w:t>
            </w:r>
          </w:p>
          <w:p w:rsidR="00261073" w:rsidRPr="00C043F9" w:rsidRDefault="00261073" w:rsidP="00C043F9">
            <w:pPr>
              <w:spacing w:line="360" w:lineRule="auto"/>
              <w:rPr>
                <w:sz w:val="20"/>
                <w:szCs w:val="20"/>
              </w:rPr>
            </w:pPr>
            <w:r w:rsidRPr="00C043F9">
              <w:rPr>
                <w:sz w:val="20"/>
                <w:szCs w:val="20"/>
              </w:rPr>
              <w:t>55</w:t>
            </w:r>
            <w:r w:rsidRPr="00C043F9">
              <w:rPr>
                <w:sz w:val="20"/>
                <w:szCs w:val="20"/>
                <w:lang w:val="en-US"/>
              </w:rPr>
              <w:t>$</w:t>
            </w:r>
            <w:r w:rsidR="006A608C" w:rsidRPr="00C043F9">
              <w:rPr>
                <w:sz w:val="20"/>
                <w:szCs w:val="20"/>
              </w:rPr>
              <w:t xml:space="preserve"> </w:t>
            </w:r>
            <w:r w:rsidRPr="00C043F9">
              <w:rPr>
                <w:sz w:val="20"/>
                <w:szCs w:val="20"/>
              </w:rPr>
              <w:t>баррель</w:t>
            </w:r>
          </w:p>
        </w:tc>
        <w:tc>
          <w:tcPr>
            <w:tcW w:w="2671" w:type="dxa"/>
            <w:gridSpan w:val="3"/>
            <w:shd w:val="clear" w:color="auto" w:fill="auto"/>
          </w:tcPr>
          <w:p w:rsidR="00261073" w:rsidRPr="00C043F9" w:rsidRDefault="00261073" w:rsidP="00C043F9">
            <w:pPr>
              <w:spacing w:line="360" w:lineRule="auto"/>
              <w:rPr>
                <w:sz w:val="20"/>
                <w:szCs w:val="20"/>
              </w:rPr>
            </w:pPr>
            <w:r w:rsidRPr="00C043F9">
              <w:rPr>
                <w:sz w:val="20"/>
                <w:szCs w:val="20"/>
              </w:rPr>
              <w:t>2008</w:t>
            </w:r>
          </w:p>
        </w:tc>
        <w:tc>
          <w:tcPr>
            <w:tcW w:w="2806" w:type="dxa"/>
            <w:gridSpan w:val="3"/>
            <w:shd w:val="clear" w:color="auto" w:fill="auto"/>
          </w:tcPr>
          <w:p w:rsidR="00261073" w:rsidRPr="00C043F9" w:rsidRDefault="00261073" w:rsidP="00C043F9">
            <w:pPr>
              <w:spacing w:line="360" w:lineRule="auto"/>
              <w:rPr>
                <w:sz w:val="20"/>
                <w:szCs w:val="20"/>
              </w:rPr>
            </w:pPr>
            <w:r w:rsidRPr="00C043F9">
              <w:rPr>
                <w:sz w:val="20"/>
                <w:szCs w:val="20"/>
              </w:rPr>
              <w:t>2009</w:t>
            </w:r>
          </w:p>
        </w:tc>
      </w:tr>
      <w:tr w:rsidR="00261073" w:rsidRPr="00C043F9" w:rsidTr="00C043F9">
        <w:trPr>
          <w:jc w:val="center"/>
        </w:trPr>
        <w:tc>
          <w:tcPr>
            <w:tcW w:w="2310" w:type="dxa"/>
            <w:shd w:val="clear" w:color="auto" w:fill="auto"/>
          </w:tcPr>
          <w:p w:rsidR="00261073" w:rsidRPr="00C043F9" w:rsidRDefault="00261073" w:rsidP="00C043F9">
            <w:pPr>
              <w:spacing w:line="360" w:lineRule="auto"/>
              <w:rPr>
                <w:sz w:val="20"/>
                <w:szCs w:val="20"/>
              </w:rPr>
            </w:pPr>
          </w:p>
        </w:tc>
        <w:tc>
          <w:tcPr>
            <w:tcW w:w="892" w:type="dxa"/>
            <w:shd w:val="clear" w:color="auto" w:fill="auto"/>
          </w:tcPr>
          <w:p w:rsidR="00261073" w:rsidRPr="00C043F9" w:rsidRDefault="00261073" w:rsidP="00C043F9">
            <w:pPr>
              <w:spacing w:line="360" w:lineRule="auto"/>
              <w:rPr>
                <w:sz w:val="20"/>
                <w:szCs w:val="20"/>
              </w:rPr>
            </w:pP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44</w:t>
            </w:r>
            <w:r w:rsidRPr="00C043F9">
              <w:rPr>
                <w:sz w:val="20"/>
                <w:szCs w:val="20"/>
                <w:lang w:val="en-US"/>
              </w:rPr>
              <w:t>$</w:t>
            </w:r>
            <w:r w:rsidR="006A608C" w:rsidRPr="00C043F9">
              <w:rPr>
                <w:sz w:val="20"/>
                <w:szCs w:val="20"/>
              </w:rPr>
              <w:t xml:space="preserve"> </w:t>
            </w:r>
            <w:r w:rsidRPr="00C043F9">
              <w:rPr>
                <w:sz w:val="20"/>
                <w:szCs w:val="20"/>
              </w:rPr>
              <w:t>баррель</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53</w:t>
            </w:r>
            <w:r w:rsidRPr="00C043F9">
              <w:rPr>
                <w:sz w:val="20"/>
                <w:szCs w:val="20"/>
                <w:lang w:val="en-US"/>
              </w:rPr>
              <w:t>$</w:t>
            </w:r>
            <w:r w:rsidR="006A608C" w:rsidRPr="00C043F9">
              <w:rPr>
                <w:sz w:val="20"/>
                <w:szCs w:val="20"/>
              </w:rPr>
              <w:t xml:space="preserve"> </w:t>
            </w:r>
            <w:r w:rsidRPr="00C043F9">
              <w:rPr>
                <w:sz w:val="20"/>
                <w:szCs w:val="20"/>
              </w:rPr>
              <w:t>баррель</w:t>
            </w:r>
          </w:p>
        </w:tc>
        <w:tc>
          <w:tcPr>
            <w:tcW w:w="887" w:type="dxa"/>
            <w:shd w:val="clear" w:color="auto" w:fill="auto"/>
          </w:tcPr>
          <w:p w:rsidR="00261073" w:rsidRPr="00C043F9" w:rsidRDefault="00261073" w:rsidP="00C043F9">
            <w:pPr>
              <w:spacing w:line="360" w:lineRule="auto"/>
              <w:rPr>
                <w:sz w:val="20"/>
                <w:szCs w:val="20"/>
              </w:rPr>
            </w:pPr>
            <w:r w:rsidRPr="00C043F9">
              <w:rPr>
                <w:sz w:val="20"/>
                <w:szCs w:val="20"/>
              </w:rPr>
              <w:t>62</w:t>
            </w:r>
            <w:r w:rsidRPr="00C043F9">
              <w:rPr>
                <w:sz w:val="20"/>
                <w:szCs w:val="20"/>
                <w:lang w:val="en-US"/>
              </w:rPr>
              <w:t>$</w:t>
            </w:r>
            <w:r w:rsidR="006A608C" w:rsidRPr="00C043F9">
              <w:rPr>
                <w:sz w:val="20"/>
                <w:szCs w:val="20"/>
              </w:rPr>
              <w:t xml:space="preserve"> </w:t>
            </w:r>
            <w:r w:rsidRPr="00C043F9">
              <w:rPr>
                <w:sz w:val="20"/>
                <w:szCs w:val="20"/>
              </w:rPr>
              <w:t>баррель</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62</w:t>
            </w:r>
            <w:r w:rsidRPr="00C043F9">
              <w:rPr>
                <w:sz w:val="20"/>
                <w:szCs w:val="20"/>
                <w:lang w:val="en-US"/>
              </w:rPr>
              <w:t>$</w:t>
            </w:r>
            <w:r w:rsidR="006A608C" w:rsidRPr="00C043F9">
              <w:rPr>
                <w:sz w:val="20"/>
                <w:szCs w:val="20"/>
              </w:rPr>
              <w:t xml:space="preserve"> </w:t>
            </w:r>
            <w:r w:rsidRPr="00C043F9">
              <w:rPr>
                <w:sz w:val="20"/>
                <w:szCs w:val="20"/>
              </w:rPr>
              <w:t>баррель</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41</w:t>
            </w:r>
            <w:r w:rsidRPr="00C043F9">
              <w:rPr>
                <w:sz w:val="20"/>
                <w:szCs w:val="20"/>
                <w:lang w:val="en-US"/>
              </w:rPr>
              <w:t>$</w:t>
            </w:r>
            <w:r w:rsidRPr="00C043F9">
              <w:rPr>
                <w:sz w:val="20"/>
                <w:szCs w:val="20"/>
              </w:rPr>
              <w:t xml:space="preserve"> </w:t>
            </w:r>
          </w:p>
          <w:p w:rsidR="00261073" w:rsidRPr="00C043F9" w:rsidRDefault="00261073" w:rsidP="00C043F9">
            <w:pPr>
              <w:spacing w:line="360" w:lineRule="auto"/>
              <w:rPr>
                <w:sz w:val="20"/>
                <w:szCs w:val="20"/>
              </w:rPr>
            </w:pPr>
            <w:r w:rsidRPr="00C043F9">
              <w:rPr>
                <w:sz w:val="20"/>
                <w:szCs w:val="20"/>
              </w:rPr>
              <w:t xml:space="preserve"> баррель</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52</w:t>
            </w:r>
            <w:r w:rsidRPr="00C043F9">
              <w:rPr>
                <w:sz w:val="20"/>
                <w:szCs w:val="20"/>
                <w:lang w:val="en-US"/>
              </w:rPr>
              <w:t>$</w:t>
            </w:r>
            <w:r w:rsidRPr="00C043F9">
              <w:rPr>
                <w:sz w:val="20"/>
                <w:szCs w:val="20"/>
              </w:rPr>
              <w:t xml:space="preserve"> </w:t>
            </w:r>
          </w:p>
          <w:p w:rsidR="00261073" w:rsidRPr="00C043F9" w:rsidRDefault="00261073" w:rsidP="00C043F9">
            <w:pPr>
              <w:spacing w:line="360" w:lineRule="auto"/>
              <w:rPr>
                <w:sz w:val="20"/>
                <w:szCs w:val="20"/>
              </w:rPr>
            </w:pPr>
            <w:r w:rsidRPr="00C043F9">
              <w:rPr>
                <w:sz w:val="20"/>
                <w:szCs w:val="20"/>
              </w:rPr>
              <w:t xml:space="preserve"> баррель</w:t>
            </w:r>
          </w:p>
        </w:tc>
      </w:tr>
      <w:tr w:rsidR="00261073" w:rsidRPr="00C043F9" w:rsidTr="00C043F9">
        <w:trPr>
          <w:jc w:val="center"/>
        </w:trPr>
        <w:tc>
          <w:tcPr>
            <w:tcW w:w="2310" w:type="dxa"/>
            <w:shd w:val="clear" w:color="auto" w:fill="auto"/>
          </w:tcPr>
          <w:p w:rsidR="00261073" w:rsidRPr="00C043F9" w:rsidRDefault="00261073" w:rsidP="00C043F9">
            <w:pPr>
              <w:spacing w:line="360" w:lineRule="auto"/>
              <w:rPr>
                <w:sz w:val="20"/>
                <w:szCs w:val="20"/>
              </w:rPr>
            </w:pPr>
            <w:r w:rsidRPr="00C043F9">
              <w:rPr>
                <w:sz w:val="20"/>
                <w:szCs w:val="20"/>
              </w:rPr>
              <w:t>Счет текущих операций</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50,7</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3,6</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15,2</w:t>
            </w:r>
          </w:p>
        </w:tc>
        <w:tc>
          <w:tcPr>
            <w:tcW w:w="887" w:type="dxa"/>
            <w:shd w:val="clear" w:color="auto" w:fill="auto"/>
          </w:tcPr>
          <w:p w:rsidR="00261073" w:rsidRPr="00C043F9" w:rsidRDefault="00261073" w:rsidP="00C043F9">
            <w:pPr>
              <w:spacing w:line="360" w:lineRule="auto"/>
              <w:rPr>
                <w:sz w:val="20"/>
                <w:szCs w:val="20"/>
              </w:rPr>
            </w:pPr>
            <w:r w:rsidRPr="00C043F9">
              <w:rPr>
                <w:sz w:val="20"/>
                <w:szCs w:val="20"/>
              </w:rPr>
              <w:t>4,6</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34,2</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- 33,1</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- 17,7</w:t>
            </w:r>
          </w:p>
        </w:tc>
      </w:tr>
      <w:tr w:rsidR="00261073" w:rsidRPr="00C043F9" w:rsidTr="00C043F9">
        <w:trPr>
          <w:jc w:val="center"/>
        </w:trPr>
        <w:tc>
          <w:tcPr>
            <w:tcW w:w="2310" w:type="dxa"/>
            <w:shd w:val="clear" w:color="auto" w:fill="auto"/>
          </w:tcPr>
          <w:p w:rsidR="00261073" w:rsidRPr="00C043F9" w:rsidRDefault="00261073" w:rsidP="00C043F9">
            <w:pPr>
              <w:spacing w:line="360" w:lineRule="auto"/>
              <w:rPr>
                <w:sz w:val="20"/>
                <w:szCs w:val="20"/>
              </w:rPr>
            </w:pPr>
            <w:r w:rsidRPr="00C043F9">
              <w:rPr>
                <w:sz w:val="20"/>
                <w:szCs w:val="20"/>
              </w:rPr>
              <w:t>Баланс товаров и услуг</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77,2</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29,5</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42,5</w:t>
            </w:r>
          </w:p>
        </w:tc>
        <w:tc>
          <w:tcPr>
            <w:tcW w:w="887" w:type="dxa"/>
            <w:shd w:val="clear" w:color="auto" w:fill="auto"/>
          </w:tcPr>
          <w:p w:rsidR="00261073" w:rsidRPr="00C043F9" w:rsidRDefault="00261073" w:rsidP="00C043F9">
            <w:pPr>
              <w:spacing w:line="360" w:lineRule="auto"/>
              <w:rPr>
                <w:sz w:val="20"/>
                <w:szCs w:val="20"/>
              </w:rPr>
            </w:pPr>
            <w:r w:rsidRPr="00C043F9">
              <w:rPr>
                <w:sz w:val="20"/>
                <w:szCs w:val="20"/>
              </w:rPr>
              <w:t>32,7</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62,1</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- 6,4</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10,3</w:t>
            </w:r>
          </w:p>
        </w:tc>
      </w:tr>
      <w:tr w:rsidR="00261073" w:rsidRPr="00C043F9" w:rsidTr="00C043F9">
        <w:trPr>
          <w:jc w:val="center"/>
        </w:trPr>
        <w:tc>
          <w:tcPr>
            <w:tcW w:w="2310" w:type="dxa"/>
            <w:shd w:val="clear" w:color="auto" w:fill="auto"/>
          </w:tcPr>
          <w:p w:rsidR="00261073" w:rsidRPr="00C043F9" w:rsidRDefault="00261073" w:rsidP="00C043F9">
            <w:pPr>
              <w:spacing w:line="360" w:lineRule="auto"/>
              <w:rPr>
                <w:sz w:val="20"/>
                <w:szCs w:val="20"/>
              </w:rPr>
            </w:pPr>
            <w:r w:rsidRPr="00C043F9">
              <w:rPr>
                <w:sz w:val="20"/>
                <w:szCs w:val="20"/>
              </w:rPr>
              <w:t>Экспорт товаров и услуг</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347,8</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321,9</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352,3</w:t>
            </w:r>
          </w:p>
        </w:tc>
        <w:tc>
          <w:tcPr>
            <w:tcW w:w="887" w:type="dxa"/>
            <w:shd w:val="clear" w:color="auto" w:fill="auto"/>
          </w:tcPr>
          <w:p w:rsidR="00261073" w:rsidRPr="00C043F9" w:rsidRDefault="00261073" w:rsidP="00C043F9">
            <w:pPr>
              <w:spacing w:line="360" w:lineRule="auto"/>
              <w:rPr>
                <w:sz w:val="20"/>
                <w:szCs w:val="20"/>
              </w:rPr>
            </w:pPr>
            <w:r w:rsidRPr="00C043F9">
              <w:rPr>
                <w:sz w:val="20"/>
                <w:szCs w:val="20"/>
              </w:rPr>
              <w:t>392,5</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378,7</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311,2</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356</w:t>
            </w:r>
          </w:p>
        </w:tc>
      </w:tr>
      <w:tr w:rsidR="00261073" w:rsidRPr="00C043F9" w:rsidTr="00C043F9">
        <w:trPr>
          <w:jc w:val="center"/>
        </w:trPr>
        <w:tc>
          <w:tcPr>
            <w:tcW w:w="2310" w:type="dxa"/>
            <w:shd w:val="clear" w:color="auto" w:fill="auto"/>
          </w:tcPr>
          <w:p w:rsidR="00261073" w:rsidRPr="00C043F9" w:rsidRDefault="00261073" w:rsidP="00C043F9">
            <w:pPr>
              <w:spacing w:line="360" w:lineRule="auto"/>
              <w:rPr>
                <w:sz w:val="20"/>
                <w:szCs w:val="20"/>
              </w:rPr>
            </w:pPr>
            <w:r w:rsidRPr="00C043F9">
              <w:rPr>
                <w:sz w:val="20"/>
                <w:szCs w:val="20"/>
              </w:rPr>
              <w:t>Импорт товаров и услуг</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- 270,6</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- 292,4</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- 309,9</w:t>
            </w:r>
          </w:p>
        </w:tc>
        <w:tc>
          <w:tcPr>
            <w:tcW w:w="887" w:type="dxa"/>
            <w:shd w:val="clear" w:color="auto" w:fill="auto"/>
          </w:tcPr>
          <w:p w:rsidR="00261073" w:rsidRPr="00C043F9" w:rsidRDefault="00261073" w:rsidP="00C043F9">
            <w:pPr>
              <w:spacing w:line="360" w:lineRule="auto"/>
              <w:rPr>
                <w:sz w:val="20"/>
                <w:szCs w:val="20"/>
              </w:rPr>
            </w:pPr>
            <w:r w:rsidRPr="00C043F9">
              <w:rPr>
                <w:sz w:val="20"/>
                <w:szCs w:val="20"/>
              </w:rPr>
              <w:t>- 359,8</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- 316,6</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- 317,5</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- 345,7</w:t>
            </w:r>
          </w:p>
        </w:tc>
      </w:tr>
      <w:tr w:rsidR="00261073" w:rsidRPr="00C043F9" w:rsidTr="00C043F9">
        <w:trPr>
          <w:jc w:val="center"/>
        </w:trPr>
        <w:tc>
          <w:tcPr>
            <w:tcW w:w="2310" w:type="dxa"/>
            <w:shd w:val="clear" w:color="auto" w:fill="auto"/>
          </w:tcPr>
          <w:p w:rsidR="00261073" w:rsidRPr="00C043F9" w:rsidRDefault="00261073" w:rsidP="00C043F9">
            <w:pPr>
              <w:spacing w:line="360" w:lineRule="auto"/>
              <w:rPr>
                <w:sz w:val="20"/>
                <w:szCs w:val="20"/>
              </w:rPr>
            </w:pPr>
            <w:r w:rsidRPr="00C043F9">
              <w:rPr>
                <w:sz w:val="20"/>
                <w:szCs w:val="20"/>
              </w:rPr>
              <w:t>Баланс доходов и текущих трансфертов</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- 26,4</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- 25,9</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- 27,2</w:t>
            </w:r>
          </w:p>
        </w:tc>
        <w:tc>
          <w:tcPr>
            <w:tcW w:w="887" w:type="dxa"/>
            <w:shd w:val="clear" w:color="auto" w:fill="auto"/>
          </w:tcPr>
          <w:p w:rsidR="00261073" w:rsidRPr="00C043F9" w:rsidRDefault="00261073" w:rsidP="00C043F9">
            <w:pPr>
              <w:spacing w:line="360" w:lineRule="auto"/>
              <w:rPr>
                <w:sz w:val="20"/>
                <w:szCs w:val="20"/>
              </w:rPr>
            </w:pPr>
            <w:r w:rsidRPr="00C043F9">
              <w:rPr>
                <w:sz w:val="20"/>
                <w:szCs w:val="20"/>
              </w:rPr>
              <w:t>- 28,1</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- 28</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- 26,7</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- 28</w:t>
            </w:r>
          </w:p>
        </w:tc>
      </w:tr>
      <w:tr w:rsidR="00261073" w:rsidRPr="00C043F9" w:rsidTr="00C043F9">
        <w:trPr>
          <w:jc w:val="center"/>
        </w:trPr>
        <w:tc>
          <w:tcPr>
            <w:tcW w:w="2310" w:type="dxa"/>
            <w:shd w:val="clear" w:color="auto" w:fill="auto"/>
          </w:tcPr>
          <w:p w:rsidR="00261073" w:rsidRPr="00C043F9" w:rsidRDefault="00261073" w:rsidP="00C043F9">
            <w:pPr>
              <w:spacing w:line="360" w:lineRule="auto"/>
              <w:rPr>
                <w:sz w:val="20"/>
                <w:szCs w:val="20"/>
              </w:rPr>
            </w:pPr>
            <w:r w:rsidRPr="00C043F9">
              <w:rPr>
                <w:sz w:val="20"/>
                <w:szCs w:val="20"/>
              </w:rPr>
              <w:t>Счет операций с капиталом и финансовыми инструментами</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64,2</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34,3</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34,3</w:t>
            </w:r>
          </w:p>
        </w:tc>
        <w:tc>
          <w:tcPr>
            <w:tcW w:w="887" w:type="dxa"/>
            <w:shd w:val="clear" w:color="auto" w:fill="auto"/>
          </w:tcPr>
          <w:p w:rsidR="00261073" w:rsidRPr="00C043F9" w:rsidRDefault="00261073" w:rsidP="00C043F9">
            <w:pPr>
              <w:spacing w:line="360" w:lineRule="auto"/>
              <w:rPr>
                <w:sz w:val="20"/>
                <w:szCs w:val="20"/>
              </w:rPr>
            </w:pPr>
            <w:r w:rsidRPr="00C043F9">
              <w:rPr>
                <w:sz w:val="20"/>
                <w:szCs w:val="20"/>
              </w:rPr>
              <w:t>41,7</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34,3</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41,7</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41,7</w:t>
            </w:r>
          </w:p>
        </w:tc>
      </w:tr>
      <w:tr w:rsidR="00261073" w:rsidRPr="00C043F9" w:rsidTr="00C043F9">
        <w:trPr>
          <w:jc w:val="center"/>
        </w:trPr>
        <w:tc>
          <w:tcPr>
            <w:tcW w:w="2310" w:type="dxa"/>
            <w:shd w:val="clear" w:color="auto" w:fill="auto"/>
          </w:tcPr>
          <w:p w:rsidR="00261073" w:rsidRPr="00C043F9" w:rsidRDefault="00261073" w:rsidP="00C043F9">
            <w:pPr>
              <w:spacing w:line="360" w:lineRule="auto"/>
              <w:rPr>
                <w:sz w:val="20"/>
                <w:szCs w:val="20"/>
              </w:rPr>
            </w:pPr>
            <w:r w:rsidRPr="00C043F9">
              <w:rPr>
                <w:sz w:val="20"/>
                <w:szCs w:val="20"/>
              </w:rPr>
              <w:t>Финансовый счет</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64,5</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34,6</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34,6</w:t>
            </w:r>
          </w:p>
        </w:tc>
        <w:tc>
          <w:tcPr>
            <w:tcW w:w="887" w:type="dxa"/>
            <w:shd w:val="clear" w:color="auto" w:fill="auto"/>
          </w:tcPr>
          <w:p w:rsidR="00261073" w:rsidRPr="00C043F9" w:rsidRDefault="00261073" w:rsidP="00C043F9">
            <w:pPr>
              <w:spacing w:line="360" w:lineRule="auto"/>
              <w:rPr>
                <w:sz w:val="20"/>
                <w:szCs w:val="20"/>
              </w:rPr>
            </w:pPr>
            <w:r w:rsidRPr="00C043F9">
              <w:rPr>
                <w:sz w:val="20"/>
                <w:szCs w:val="20"/>
              </w:rPr>
              <w:t>42</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34,6</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42</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42</w:t>
            </w:r>
          </w:p>
        </w:tc>
      </w:tr>
      <w:tr w:rsidR="00261073" w:rsidRPr="00C043F9" w:rsidTr="00C043F9">
        <w:trPr>
          <w:jc w:val="center"/>
        </w:trPr>
        <w:tc>
          <w:tcPr>
            <w:tcW w:w="2310" w:type="dxa"/>
            <w:shd w:val="clear" w:color="auto" w:fill="auto"/>
          </w:tcPr>
          <w:p w:rsidR="00261073" w:rsidRPr="00C043F9" w:rsidRDefault="00261073" w:rsidP="00C043F9">
            <w:pPr>
              <w:spacing w:line="360" w:lineRule="auto"/>
              <w:rPr>
                <w:sz w:val="20"/>
                <w:szCs w:val="20"/>
              </w:rPr>
            </w:pPr>
            <w:r w:rsidRPr="00C043F9">
              <w:rPr>
                <w:sz w:val="20"/>
                <w:szCs w:val="20"/>
              </w:rPr>
              <w:t>Сектор гос управления и органы ден-кред регулиров</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- 5,6</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- 5,4</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- 5,4</w:t>
            </w:r>
          </w:p>
        </w:tc>
        <w:tc>
          <w:tcPr>
            <w:tcW w:w="887" w:type="dxa"/>
            <w:shd w:val="clear" w:color="auto" w:fill="auto"/>
          </w:tcPr>
          <w:p w:rsidR="00261073" w:rsidRPr="00C043F9" w:rsidRDefault="00261073" w:rsidP="00C043F9">
            <w:pPr>
              <w:spacing w:line="360" w:lineRule="auto"/>
              <w:rPr>
                <w:sz w:val="20"/>
                <w:szCs w:val="20"/>
              </w:rPr>
            </w:pPr>
            <w:r w:rsidRPr="00C043F9">
              <w:rPr>
                <w:sz w:val="20"/>
                <w:szCs w:val="20"/>
              </w:rPr>
              <w:t>- 3</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- 5,4</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- 3</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- 3</w:t>
            </w:r>
          </w:p>
        </w:tc>
      </w:tr>
      <w:tr w:rsidR="00261073" w:rsidRPr="00C043F9" w:rsidTr="00C043F9">
        <w:trPr>
          <w:jc w:val="center"/>
        </w:trPr>
        <w:tc>
          <w:tcPr>
            <w:tcW w:w="2310" w:type="dxa"/>
            <w:shd w:val="clear" w:color="auto" w:fill="auto"/>
          </w:tcPr>
          <w:p w:rsidR="00261073" w:rsidRPr="00C043F9" w:rsidRDefault="00261073" w:rsidP="00C043F9">
            <w:pPr>
              <w:spacing w:line="360" w:lineRule="auto"/>
              <w:rPr>
                <w:sz w:val="20"/>
                <w:szCs w:val="20"/>
              </w:rPr>
            </w:pPr>
            <w:r w:rsidRPr="00C043F9">
              <w:rPr>
                <w:sz w:val="20"/>
                <w:szCs w:val="20"/>
              </w:rPr>
              <w:t>Частный сектор</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70</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40</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40</w:t>
            </w:r>
          </w:p>
        </w:tc>
        <w:tc>
          <w:tcPr>
            <w:tcW w:w="887" w:type="dxa"/>
            <w:shd w:val="clear" w:color="auto" w:fill="auto"/>
          </w:tcPr>
          <w:p w:rsidR="00261073" w:rsidRPr="00C043F9" w:rsidRDefault="00261073" w:rsidP="00C043F9">
            <w:pPr>
              <w:spacing w:line="360" w:lineRule="auto"/>
              <w:rPr>
                <w:sz w:val="20"/>
                <w:szCs w:val="20"/>
              </w:rPr>
            </w:pPr>
            <w:r w:rsidRPr="00C043F9">
              <w:rPr>
                <w:sz w:val="20"/>
                <w:szCs w:val="20"/>
              </w:rPr>
              <w:t>55</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45</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45</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45</w:t>
            </w:r>
          </w:p>
        </w:tc>
      </w:tr>
      <w:tr w:rsidR="00261073" w:rsidRPr="00C043F9" w:rsidTr="00C043F9">
        <w:trPr>
          <w:jc w:val="center"/>
        </w:trPr>
        <w:tc>
          <w:tcPr>
            <w:tcW w:w="2310" w:type="dxa"/>
            <w:shd w:val="clear" w:color="auto" w:fill="auto"/>
          </w:tcPr>
          <w:p w:rsidR="00261073" w:rsidRPr="00C043F9" w:rsidRDefault="00261073" w:rsidP="00C043F9">
            <w:pPr>
              <w:spacing w:line="360" w:lineRule="auto"/>
              <w:rPr>
                <w:sz w:val="20"/>
                <w:szCs w:val="20"/>
              </w:rPr>
            </w:pPr>
            <w:r w:rsidRPr="00C043F9">
              <w:rPr>
                <w:sz w:val="20"/>
                <w:szCs w:val="20"/>
              </w:rPr>
              <w:t>Изменение валютных резервов (+;-)</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- 114,9</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- 37,9</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- 49,5</w:t>
            </w:r>
          </w:p>
        </w:tc>
        <w:tc>
          <w:tcPr>
            <w:tcW w:w="887" w:type="dxa"/>
            <w:shd w:val="clear" w:color="auto" w:fill="auto"/>
          </w:tcPr>
          <w:p w:rsidR="00261073" w:rsidRPr="00C043F9" w:rsidRDefault="00261073" w:rsidP="00C043F9">
            <w:pPr>
              <w:spacing w:line="360" w:lineRule="auto"/>
              <w:rPr>
                <w:sz w:val="20"/>
                <w:szCs w:val="20"/>
              </w:rPr>
            </w:pPr>
            <w:r w:rsidRPr="00C043F9">
              <w:rPr>
                <w:sz w:val="20"/>
                <w:szCs w:val="20"/>
              </w:rPr>
              <w:t>- 46,3</w:t>
            </w:r>
          </w:p>
        </w:tc>
        <w:tc>
          <w:tcPr>
            <w:tcW w:w="892" w:type="dxa"/>
            <w:shd w:val="clear" w:color="auto" w:fill="auto"/>
          </w:tcPr>
          <w:p w:rsidR="00261073" w:rsidRPr="00C043F9" w:rsidRDefault="00261073" w:rsidP="00C043F9">
            <w:pPr>
              <w:spacing w:line="360" w:lineRule="auto"/>
              <w:rPr>
                <w:sz w:val="20"/>
                <w:szCs w:val="20"/>
              </w:rPr>
            </w:pPr>
            <w:r w:rsidRPr="00C043F9">
              <w:rPr>
                <w:sz w:val="20"/>
                <w:szCs w:val="20"/>
              </w:rPr>
              <w:t>- 68,4</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- 8,6</w:t>
            </w:r>
          </w:p>
        </w:tc>
        <w:tc>
          <w:tcPr>
            <w:tcW w:w="957" w:type="dxa"/>
            <w:shd w:val="clear" w:color="auto" w:fill="auto"/>
          </w:tcPr>
          <w:p w:rsidR="00261073" w:rsidRPr="00C043F9" w:rsidRDefault="00261073" w:rsidP="00C043F9">
            <w:pPr>
              <w:spacing w:line="360" w:lineRule="auto"/>
              <w:rPr>
                <w:sz w:val="20"/>
                <w:szCs w:val="20"/>
              </w:rPr>
            </w:pPr>
            <w:r w:rsidRPr="00C043F9">
              <w:rPr>
                <w:sz w:val="20"/>
                <w:szCs w:val="20"/>
              </w:rPr>
              <w:t>- 24</w:t>
            </w:r>
          </w:p>
        </w:tc>
      </w:tr>
    </w:tbl>
    <w:p w:rsidR="00F14CB2" w:rsidRPr="006A608C" w:rsidRDefault="00F14CB2" w:rsidP="00A426D6">
      <w:pPr>
        <w:tabs>
          <w:tab w:val="left" w:pos="934"/>
        </w:tabs>
        <w:spacing w:line="360" w:lineRule="auto"/>
        <w:ind w:firstLine="709"/>
        <w:jc w:val="both"/>
      </w:pPr>
    </w:p>
    <w:p w:rsidR="00F8596B" w:rsidRPr="00F9497A" w:rsidRDefault="00F9497A" w:rsidP="00A426D6">
      <w:pPr>
        <w:spacing w:line="360" w:lineRule="auto"/>
        <w:ind w:firstLine="709"/>
        <w:jc w:val="center"/>
        <w:rPr>
          <w:b/>
        </w:rPr>
      </w:pPr>
      <w:r>
        <w:br w:type="page"/>
      </w:r>
      <w:r w:rsidR="00F8596B" w:rsidRPr="00F9497A">
        <w:rPr>
          <w:b/>
        </w:rPr>
        <w:t>Приложение 3</w:t>
      </w:r>
    </w:p>
    <w:p w:rsidR="00F8596B" w:rsidRPr="006A608C" w:rsidRDefault="00F8596B" w:rsidP="00A426D6">
      <w:pPr>
        <w:spacing w:line="360" w:lineRule="auto"/>
        <w:ind w:firstLine="709"/>
        <w:jc w:val="both"/>
      </w:pPr>
    </w:p>
    <w:p w:rsidR="00F8596B" w:rsidRPr="006A608C" w:rsidRDefault="00F8596B" w:rsidP="00A426D6">
      <w:pPr>
        <w:spacing w:line="360" w:lineRule="auto"/>
        <w:ind w:firstLine="709"/>
        <w:jc w:val="both"/>
      </w:pPr>
      <w:r w:rsidRPr="006A608C">
        <w:t>План важнейших мероприятий Банка России на 2008 год по совершенствованию банковской системы Российской Федерации, банковского надзора, финансовых рынков</w:t>
      </w:r>
      <w:r w:rsidR="00F9497A">
        <w:t xml:space="preserve"> </w:t>
      </w:r>
      <w:r w:rsidRPr="006A608C">
        <w:t>и платежной системы</w:t>
      </w:r>
    </w:p>
    <w:p w:rsidR="00F8596B" w:rsidRPr="006A608C" w:rsidRDefault="00F8596B" w:rsidP="00A426D6">
      <w:pPr>
        <w:spacing w:line="360" w:lineRule="auto"/>
        <w:ind w:firstLine="709"/>
        <w:jc w:val="both"/>
      </w:pPr>
    </w:p>
    <w:tbl>
      <w:tblPr>
        <w:tblW w:w="9158" w:type="dxa"/>
        <w:jc w:val="center"/>
        <w:tblLayout w:type="fixed"/>
        <w:tblCellMar>
          <w:left w:w="40" w:type="dxa"/>
          <w:right w:w="40" w:type="dxa"/>
        </w:tblCellMar>
        <w:tblLook w:val="0000" w:firstRow="0" w:lastRow="0" w:firstColumn="0" w:lastColumn="0" w:noHBand="0" w:noVBand="0"/>
      </w:tblPr>
      <w:tblGrid>
        <w:gridCol w:w="44"/>
        <w:gridCol w:w="7862"/>
        <w:gridCol w:w="33"/>
        <w:gridCol w:w="1197"/>
        <w:gridCol w:w="22"/>
      </w:tblGrid>
      <w:tr w:rsidR="00F8596B" w:rsidRPr="00F9497A" w:rsidTr="00A426D6">
        <w:trPr>
          <w:gridAfter w:val="1"/>
          <w:wAfter w:w="22" w:type="dxa"/>
          <w:trHeight w:hRule="exact" w:val="590"/>
          <w:jc w:val="center"/>
        </w:trPr>
        <w:tc>
          <w:tcPr>
            <w:tcW w:w="7906"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F9497A" w:rsidRDefault="00F8596B" w:rsidP="00A426D6">
            <w:pPr>
              <w:spacing w:line="360" w:lineRule="auto"/>
              <w:rPr>
                <w:sz w:val="20"/>
                <w:szCs w:val="20"/>
              </w:rPr>
            </w:pPr>
            <w:r w:rsidRPr="00F9497A">
              <w:rPr>
                <w:sz w:val="20"/>
                <w:szCs w:val="20"/>
              </w:rPr>
              <w:t>Содержание мероприятий</w:t>
            </w:r>
          </w:p>
        </w:tc>
        <w:tc>
          <w:tcPr>
            <w:tcW w:w="1230"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F9497A" w:rsidRDefault="00F8596B" w:rsidP="00A426D6">
            <w:pPr>
              <w:spacing w:line="360" w:lineRule="auto"/>
              <w:rPr>
                <w:sz w:val="20"/>
                <w:szCs w:val="20"/>
              </w:rPr>
            </w:pPr>
            <w:r w:rsidRPr="00F9497A">
              <w:rPr>
                <w:sz w:val="20"/>
                <w:szCs w:val="20"/>
              </w:rPr>
              <w:t>Срок исполнения</w:t>
            </w:r>
          </w:p>
        </w:tc>
      </w:tr>
      <w:tr w:rsidR="00F8596B" w:rsidRPr="00F9497A" w:rsidTr="00A426D6">
        <w:trPr>
          <w:gridAfter w:val="1"/>
          <w:wAfter w:w="22" w:type="dxa"/>
          <w:trHeight w:hRule="exact" w:val="301"/>
          <w:jc w:val="center"/>
        </w:trPr>
        <w:tc>
          <w:tcPr>
            <w:tcW w:w="9136" w:type="dxa"/>
            <w:gridSpan w:val="4"/>
            <w:tcBorders>
              <w:top w:val="single" w:sz="6" w:space="0" w:color="auto"/>
              <w:left w:val="single" w:sz="6" w:space="0" w:color="auto"/>
              <w:bottom w:val="single" w:sz="6" w:space="0" w:color="auto"/>
              <w:right w:val="single" w:sz="6" w:space="0" w:color="auto"/>
            </w:tcBorders>
            <w:shd w:val="clear" w:color="auto" w:fill="FFFFFF"/>
          </w:tcPr>
          <w:p w:rsidR="00F8596B" w:rsidRPr="00F9497A" w:rsidRDefault="00F8596B" w:rsidP="00A426D6">
            <w:pPr>
              <w:spacing w:line="360" w:lineRule="auto"/>
              <w:rPr>
                <w:sz w:val="20"/>
                <w:szCs w:val="20"/>
              </w:rPr>
            </w:pPr>
            <w:r w:rsidRPr="00F9497A">
              <w:rPr>
                <w:sz w:val="20"/>
                <w:szCs w:val="20"/>
              </w:rPr>
              <w:t>Банковская система и банковский надзор</w:t>
            </w:r>
          </w:p>
        </w:tc>
      </w:tr>
      <w:tr w:rsidR="00F8596B" w:rsidRPr="00F9497A" w:rsidTr="00A426D6">
        <w:trPr>
          <w:gridAfter w:val="1"/>
          <w:wAfter w:w="22" w:type="dxa"/>
          <w:trHeight w:hRule="exact" w:val="2462"/>
          <w:jc w:val="center"/>
        </w:trPr>
        <w:tc>
          <w:tcPr>
            <w:tcW w:w="7906"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F9497A" w:rsidRDefault="00F8596B" w:rsidP="00A426D6">
            <w:pPr>
              <w:spacing w:line="360" w:lineRule="auto"/>
              <w:rPr>
                <w:sz w:val="20"/>
                <w:szCs w:val="20"/>
              </w:rPr>
            </w:pPr>
            <w:r w:rsidRPr="00F9497A">
              <w:rPr>
                <w:sz w:val="20"/>
                <w:szCs w:val="20"/>
              </w:rPr>
              <w:t>1. Участие в подготовке изменений в статью 36 Федерального закона «О банках и банковской деятельности», предусматривающих получение банком права на привлечение во вклады денежных средств физических лиц с даты его государственной регистрации, если размер уставного капитала вновь регистрируемого банка не ниже суммы рублевого эквивалента 100 млн евро, а также банками с устойчивым финансовым положением до истечения двухлетнего срока с даты их государственной регистрации, если размер их собственных средств составляет в рублевом эквиваленте не менее 100 млн евро</w:t>
            </w:r>
          </w:p>
        </w:tc>
        <w:tc>
          <w:tcPr>
            <w:tcW w:w="1230"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F9497A" w:rsidRDefault="00F8596B" w:rsidP="00A426D6">
            <w:pPr>
              <w:spacing w:line="360" w:lineRule="auto"/>
              <w:rPr>
                <w:sz w:val="20"/>
                <w:szCs w:val="20"/>
              </w:rPr>
            </w:pPr>
            <w:r w:rsidRPr="00F9497A">
              <w:rPr>
                <w:sz w:val="20"/>
                <w:szCs w:val="20"/>
              </w:rPr>
              <w:t>I—IV</w:t>
            </w:r>
          </w:p>
          <w:p w:rsidR="00F8596B" w:rsidRPr="00F9497A" w:rsidRDefault="00F8596B" w:rsidP="00A426D6">
            <w:pPr>
              <w:spacing w:line="360" w:lineRule="auto"/>
              <w:rPr>
                <w:sz w:val="20"/>
                <w:szCs w:val="20"/>
              </w:rPr>
            </w:pPr>
            <w:r w:rsidRPr="00F9497A">
              <w:rPr>
                <w:sz w:val="20"/>
                <w:szCs w:val="20"/>
              </w:rPr>
              <w:t>кварталы</w:t>
            </w:r>
          </w:p>
        </w:tc>
      </w:tr>
      <w:tr w:rsidR="00F8596B" w:rsidRPr="00F9497A" w:rsidTr="00A426D6">
        <w:trPr>
          <w:gridAfter w:val="1"/>
          <w:wAfter w:w="22" w:type="dxa"/>
          <w:trHeight w:hRule="exact" w:val="2271"/>
          <w:jc w:val="center"/>
        </w:trPr>
        <w:tc>
          <w:tcPr>
            <w:tcW w:w="7906"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F9497A" w:rsidRDefault="00F8596B" w:rsidP="00A426D6">
            <w:pPr>
              <w:spacing w:line="360" w:lineRule="auto"/>
              <w:rPr>
                <w:sz w:val="20"/>
                <w:szCs w:val="20"/>
              </w:rPr>
            </w:pPr>
            <w:r w:rsidRPr="00F9497A">
              <w:rPr>
                <w:sz w:val="20"/>
                <w:szCs w:val="20"/>
              </w:rPr>
              <w:t>2. Участие в разработке федерального закона «О внесении изменений в Федеральный закон «О Центральном банке Российской Федерации (Банке России)», направленного на создание условий, способствующих повышению финансовой устойчивости кредитных организаций и банковского сектора'Российской Федерации в целом, в частности, создание эффективного механизма регулирования рисков, принимаемых кредитными организациями при осуществлении операций и сделок кредитного характера со связанными с ними лицами</w:t>
            </w:r>
          </w:p>
        </w:tc>
        <w:tc>
          <w:tcPr>
            <w:tcW w:w="1230"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F9497A" w:rsidRDefault="00F8596B" w:rsidP="00A426D6">
            <w:pPr>
              <w:spacing w:line="360" w:lineRule="auto"/>
              <w:rPr>
                <w:sz w:val="20"/>
                <w:szCs w:val="20"/>
              </w:rPr>
            </w:pPr>
            <w:r w:rsidRPr="00F9497A">
              <w:rPr>
                <w:sz w:val="20"/>
                <w:szCs w:val="20"/>
              </w:rPr>
              <w:t>I—II</w:t>
            </w:r>
          </w:p>
          <w:p w:rsidR="00F8596B" w:rsidRPr="00F9497A" w:rsidRDefault="00F8596B" w:rsidP="00A426D6">
            <w:pPr>
              <w:spacing w:line="360" w:lineRule="auto"/>
              <w:rPr>
                <w:sz w:val="20"/>
                <w:szCs w:val="20"/>
              </w:rPr>
            </w:pPr>
            <w:r w:rsidRPr="00F9497A">
              <w:rPr>
                <w:sz w:val="20"/>
                <w:szCs w:val="20"/>
              </w:rPr>
              <w:t>кварталы</w:t>
            </w:r>
          </w:p>
        </w:tc>
      </w:tr>
      <w:tr w:rsidR="00F8596B" w:rsidRPr="00F9497A" w:rsidTr="00A426D6">
        <w:trPr>
          <w:gridAfter w:val="1"/>
          <w:wAfter w:w="22" w:type="dxa"/>
          <w:trHeight w:hRule="exact" w:val="2120"/>
          <w:jc w:val="center"/>
        </w:trPr>
        <w:tc>
          <w:tcPr>
            <w:tcW w:w="7906"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F9497A" w:rsidRDefault="00F8596B" w:rsidP="00A426D6">
            <w:pPr>
              <w:spacing w:line="360" w:lineRule="auto"/>
              <w:rPr>
                <w:sz w:val="20"/>
                <w:szCs w:val="20"/>
              </w:rPr>
            </w:pPr>
            <w:r w:rsidRPr="00F9497A">
              <w:rPr>
                <w:sz w:val="20"/>
                <w:szCs w:val="20"/>
              </w:rPr>
              <w:t xml:space="preserve">3. Совершенствование законодательства о рынке ценных бумаг по представлению кредитными организациями в установленных случаях в Банк России уведомления об итогах выпуска ценных </w:t>
            </w:r>
            <w:r w:rsidR="00107B56" w:rsidRPr="00F9497A">
              <w:rPr>
                <w:sz w:val="20"/>
                <w:szCs w:val="20"/>
              </w:rPr>
              <w:t>бумаг с</w:t>
            </w:r>
            <w:r w:rsidRPr="00F9497A">
              <w:rPr>
                <w:sz w:val="20"/>
                <w:szCs w:val="20"/>
              </w:rPr>
              <w:t xml:space="preserve"> одновременным изменением законодательства по применению Банком </w:t>
            </w:r>
            <w:r w:rsidR="00107B56" w:rsidRPr="00F9497A">
              <w:rPr>
                <w:sz w:val="20"/>
                <w:szCs w:val="20"/>
              </w:rPr>
              <w:t>России</w:t>
            </w:r>
            <w:r w:rsidRPr="00F9497A">
              <w:rPr>
                <w:sz w:val="20"/>
                <w:szCs w:val="20"/>
              </w:rPr>
              <w:t xml:space="preserve"> мер воздействия к акционерам (участникам) кредитных о</w:t>
            </w:r>
            <w:r w:rsidR="00107B56" w:rsidRPr="00F9497A">
              <w:rPr>
                <w:sz w:val="20"/>
                <w:szCs w:val="20"/>
              </w:rPr>
              <w:t>рганизаций, нарушившим банковское</w:t>
            </w:r>
            <w:r w:rsidRPr="00F9497A">
              <w:rPr>
                <w:sz w:val="20"/>
                <w:szCs w:val="20"/>
              </w:rPr>
              <w:t xml:space="preserve"> законодательство при приобретении акций (долей) кредитной организации</w:t>
            </w:r>
          </w:p>
        </w:tc>
        <w:tc>
          <w:tcPr>
            <w:tcW w:w="1230"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F9497A" w:rsidRDefault="00F8596B" w:rsidP="00A426D6">
            <w:pPr>
              <w:spacing w:line="360" w:lineRule="auto"/>
              <w:rPr>
                <w:sz w:val="20"/>
                <w:szCs w:val="20"/>
              </w:rPr>
            </w:pPr>
            <w:r w:rsidRPr="00F9497A">
              <w:rPr>
                <w:sz w:val="20"/>
                <w:szCs w:val="20"/>
              </w:rPr>
              <w:t>IV квартал</w:t>
            </w:r>
          </w:p>
        </w:tc>
      </w:tr>
      <w:tr w:rsidR="00F8596B" w:rsidRPr="00F9497A" w:rsidTr="00A426D6">
        <w:trPr>
          <w:gridAfter w:val="1"/>
          <w:wAfter w:w="22" w:type="dxa"/>
          <w:trHeight w:hRule="exact" w:val="3836"/>
          <w:jc w:val="center"/>
        </w:trPr>
        <w:tc>
          <w:tcPr>
            <w:tcW w:w="7906"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F9497A" w:rsidRDefault="00F8596B" w:rsidP="00A426D6">
            <w:pPr>
              <w:spacing w:line="360" w:lineRule="auto"/>
              <w:rPr>
                <w:sz w:val="20"/>
                <w:szCs w:val="20"/>
              </w:rPr>
            </w:pPr>
            <w:r w:rsidRPr="00F9497A">
              <w:rPr>
                <w:sz w:val="20"/>
                <w:szCs w:val="20"/>
              </w:rPr>
              <w:t>4. Участие в подготовке предложений по внесению изменений в банковское законодательство, направленных на реализацию положений Базеля II в части: — предоставления Банку России полномочий требовать от кредитных организаций, исходя из оценки характера и уровня принятых рисков, поддержания на определенном уровне норматива достаточности собственных средств (капитала) сверх минимально установленного; — разработки (пересмотра) процедур по управлению рисками и внутреннему контролю; — дополнения части 2 статьи 74 Федерального закона «О Центральном банке Российской Федерации (Банке России)» перечнем мер воздействия, рекомендованных Базельским комитетом по банковскому надзору при работе со «слабыми» (проблемными) банками (Supervisory Guidance on Dealing with Weak Banks, март, 2002)</w:t>
            </w:r>
          </w:p>
        </w:tc>
        <w:tc>
          <w:tcPr>
            <w:tcW w:w="1230"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F9497A" w:rsidRDefault="00F8596B" w:rsidP="00A426D6">
            <w:pPr>
              <w:spacing w:line="360" w:lineRule="auto"/>
              <w:rPr>
                <w:sz w:val="20"/>
                <w:szCs w:val="20"/>
              </w:rPr>
            </w:pPr>
            <w:r w:rsidRPr="00F9497A">
              <w:rPr>
                <w:sz w:val="20"/>
                <w:szCs w:val="20"/>
              </w:rPr>
              <w:t>I—IV</w:t>
            </w:r>
          </w:p>
          <w:p w:rsidR="00F8596B" w:rsidRPr="00F9497A" w:rsidRDefault="00F8596B" w:rsidP="00A426D6">
            <w:pPr>
              <w:spacing w:line="360" w:lineRule="auto"/>
              <w:rPr>
                <w:sz w:val="20"/>
                <w:szCs w:val="20"/>
              </w:rPr>
            </w:pPr>
            <w:r w:rsidRPr="00F9497A">
              <w:rPr>
                <w:sz w:val="20"/>
                <w:szCs w:val="20"/>
              </w:rPr>
              <w:t>кварталы</w:t>
            </w:r>
          </w:p>
        </w:tc>
      </w:tr>
      <w:tr w:rsidR="00F8596B" w:rsidRPr="00A426D6" w:rsidTr="00A426D6">
        <w:trPr>
          <w:gridBefore w:val="1"/>
          <w:wBefore w:w="44" w:type="dxa"/>
          <w:trHeight w:hRule="exact" w:val="1715"/>
          <w:jc w:val="center"/>
        </w:trPr>
        <w:tc>
          <w:tcPr>
            <w:tcW w:w="7895"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A426D6" w:rsidRDefault="00F8596B" w:rsidP="00A426D6">
            <w:pPr>
              <w:spacing w:line="360" w:lineRule="auto"/>
              <w:rPr>
                <w:sz w:val="20"/>
                <w:szCs w:val="20"/>
              </w:rPr>
            </w:pPr>
            <w:r w:rsidRPr="00A426D6">
              <w:rPr>
                <w:sz w:val="20"/>
                <w:szCs w:val="20"/>
              </w:rPr>
              <w:t>5. Разработка проекта федерального закона «О внесении изменений в статью 5 Федерального закона «О банках и банковской деятельности», в соответствии с которым предполагается закрепить на законодательном уровне возможность создания кредитными организациями общих фондов банковского управления и определить полномочия Банка России по регламентированию их деятельности</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A426D6" w:rsidRDefault="00F8596B" w:rsidP="00A426D6">
            <w:pPr>
              <w:spacing w:line="360" w:lineRule="auto"/>
              <w:rPr>
                <w:sz w:val="20"/>
                <w:szCs w:val="20"/>
              </w:rPr>
            </w:pPr>
            <w:r w:rsidRPr="00A426D6">
              <w:rPr>
                <w:sz w:val="20"/>
                <w:szCs w:val="20"/>
              </w:rPr>
              <w:t>I—TV кварталы</w:t>
            </w:r>
          </w:p>
        </w:tc>
      </w:tr>
      <w:tr w:rsidR="00F8596B" w:rsidRPr="00A426D6" w:rsidTr="00A426D6">
        <w:trPr>
          <w:gridBefore w:val="1"/>
          <w:wBefore w:w="44" w:type="dxa"/>
          <w:trHeight w:hRule="exact" w:val="1130"/>
          <w:jc w:val="center"/>
        </w:trPr>
        <w:tc>
          <w:tcPr>
            <w:tcW w:w="7895"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A426D6" w:rsidRDefault="00F8596B" w:rsidP="00A426D6">
            <w:pPr>
              <w:spacing w:line="360" w:lineRule="auto"/>
              <w:rPr>
                <w:sz w:val="20"/>
                <w:szCs w:val="20"/>
              </w:rPr>
            </w:pPr>
            <w:r w:rsidRPr="00A426D6">
              <w:rPr>
                <w:sz w:val="20"/>
                <w:szCs w:val="20"/>
              </w:rPr>
              <w:t>6. Участие в подготовке законопроекта, закрепляющего возможность привлечения организ</w:t>
            </w:r>
            <w:r w:rsidR="00107B56" w:rsidRPr="00A426D6">
              <w:rPr>
                <w:sz w:val="20"/>
                <w:szCs w:val="20"/>
              </w:rPr>
              <w:t>аций федеральной почтовой связи</w:t>
            </w:r>
            <w:r w:rsidRPr="00A426D6">
              <w:rPr>
                <w:sz w:val="20"/>
                <w:szCs w:val="20"/>
              </w:rPr>
              <w:t>,</w:t>
            </w:r>
            <w:r w:rsidR="00107B56" w:rsidRPr="00A426D6">
              <w:rPr>
                <w:sz w:val="20"/>
                <w:szCs w:val="20"/>
              </w:rPr>
              <w:t xml:space="preserve"> д</w:t>
            </w:r>
            <w:r w:rsidRPr="00A426D6">
              <w:rPr>
                <w:sz w:val="20"/>
                <w:szCs w:val="20"/>
              </w:rPr>
              <w:t>ля осуществления отдельных технологических операций, свя</w:t>
            </w:r>
            <w:r w:rsidR="00107B56" w:rsidRPr="00A426D6">
              <w:rPr>
                <w:sz w:val="20"/>
                <w:szCs w:val="20"/>
              </w:rPr>
              <w:t>занных с осуществлением банковских</w:t>
            </w:r>
            <w:r w:rsidRPr="00A426D6">
              <w:rPr>
                <w:sz w:val="20"/>
                <w:szCs w:val="20"/>
              </w:rPr>
              <w:t xml:space="preserve"> операций</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A426D6" w:rsidRDefault="00F8596B" w:rsidP="00A426D6">
            <w:pPr>
              <w:spacing w:line="360" w:lineRule="auto"/>
              <w:rPr>
                <w:sz w:val="20"/>
                <w:szCs w:val="20"/>
              </w:rPr>
            </w:pPr>
            <w:r w:rsidRPr="00A426D6">
              <w:rPr>
                <w:sz w:val="20"/>
                <w:szCs w:val="20"/>
              </w:rPr>
              <w:t>I—IV кварталы</w:t>
            </w:r>
          </w:p>
        </w:tc>
      </w:tr>
      <w:tr w:rsidR="00F8596B" w:rsidRPr="00A426D6" w:rsidTr="00A426D6">
        <w:trPr>
          <w:gridBefore w:val="1"/>
          <w:wBefore w:w="44" w:type="dxa"/>
          <w:trHeight w:hRule="exact" w:val="1004"/>
          <w:jc w:val="center"/>
        </w:trPr>
        <w:tc>
          <w:tcPr>
            <w:tcW w:w="7895"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A426D6" w:rsidRDefault="00107B56" w:rsidP="00A426D6">
            <w:pPr>
              <w:spacing w:line="360" w:lineRule="auto"/>
              <w:rPr>
                <w:sz w:val="20"/>
                <w:szCs w:val="20"/>
              </w:rPr>
            </w:pPr>
            <w:r w:rsidRPr="00A426D6">
              <w:rPr>
                <w:sz w:val="20"/>
                <w:szCs w:val="20"/>
              </w:rPr>
              <w:t>7. Проведение работы по</w:t>
            </w:r>
            <w:r w:rsidR="00F8596B" w:rsidRPr="00A426D6">
              <w:rPr>
                <w:sz w:val="20"/>
                <w:szCs w:val="20"/>
              </w:rPr>
              <w:t xml:space="preserve"> изменению подходов регулирования рисков ликвидности на основании концепции денежных потоков с учетом международного опыта результатов проекта EC/TACIS «Банковский надзор и отчетность»</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A426D6" w:rsidRDefault="00F8596B" w:rsidP="00A426D6">
            <w:pPr>
              <w:spacing w:line="360" w:lineRule="auto"/>
              <w:rPr>
                <w:sz w:val="20"/>
                <w:szCs w:val="20"/>
              </w:rPr>
            </w:pPr>
            <w:r w:rsidRPr="00A426D6">
              <w:rPr>
                <w:sz w:val="20"/>
                <w:szCs w:val="20"/>
              </w:rPr>
              <w:t>I—II кварталы</w:t>
            </w:r>
          </w:p>
        </w:tc>
      </w:tr>
      <w:tr w:rsidR="00F8596B" w:rsidRPr="00A426D6" w:rsidTr="00A426D6">
        <w:trPr>
          <w:gridBefore w:val="1"/>
          <w:wBefore w:w="44" w:type="dxa"/>
          <w:trHeight w:hRule="exact" w:val="1272"/>
          <w:jc w:val="center"/>
        </w:trPr>
        <w:tc>
          <w:tcPr>
            <w:tcW w:w="7895"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A426D6" w:rsidRDefault="00F8596B" w:rsidP="00A426D6">
            <w:pPr>
              <w:spacing w:line="360" w:lineRule="auto"/>
              <w:rPr>
                <w:sz w:val="20"/>
                <w:szCs w:val="20"/>
              </w:rPr>
            </w:pPr>
            <w:r w:rsidRPr="00A426D6">
              <w:rPr>
                <w:sz w:val="20"/>
                <w:szCs w:val="20"/>
              </w:rPr>
              <w:t>8. Продолжение работы по реализации положений Базеля II в России в части внесения изменений в порядок расчета норматива достаточности собственных средств (капитала) кредитных организаций на основе Упрощенного стандартизированного подхода к оценке кредитного риска</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A426D6" w:rsidRDefault="00F8596B" w:rsidP="00A426D6">
            <w:pPr>
              <w:spacing w:line="360" w:lineRule="auto"/>
              <w:rPr>
                <w:sz w:val="20"/>
                <w:szCs w:val="20"/>
              </w:rPr>
            </w:pPr>
            <w:r w:rsidRPr="00A426D6">
              <w:rPr>
                <w:sz w:val="20"/>
                <w:szCs w:val="20"/>
              </w:rPr>
              <w:t>I—IV кварталы</w:t>
            </w:r>
          </w:p>
        </w:tc>
      </w:tr>
      <w:tr w:rsidR="00F8596B" w:rsidRPr="00A426D6" w:rsidTr="00A426D6">
        <w:trPr>
          <w:gridBefore w:val="1"/>
          <w:wBefore w:w="44" w:type="dxa"/>
          <w:trHeight w:hRule="exact" w:val="710"/>
          <w:jc w:val="center"/>
        </w:trPr>
        <w:tc>
          <w:tcPr>
            <w:tcW w:w="7895"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A426D6" w:rsidRDefault="00F8596B" w:rsidP="00A426D6">
            <w:pPr>
              <w:spacing w:line="360" w:lineRule="auto"/>
              <w:rPr>
                <w:sz w:val="20"/>
                <w:szCs w:val="20"/>
              </w:rPr>
            </w:pPr>
            <w:r w:rsidRPr="00A426D6">
              <w:rPr>
                <w:sz w:val="20"/>
                <w:szCs w:val="20"/>
              </w:rPr>
              <w:t>9. Участие в разработке стандарта качества банковской деятельности по применению банковских информационных технологий (совместно с банковскими ассоциациями)</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A426D6" w:rsidRDefault="00F8596B" w:rsidP="00A426D6">
            <w:pPr>
              <w:spacing w:line="360" w:lineRule="auto"/>
              <w:rPr>
                <w:sz w:val="20"/>
                <w:szCs w:val="20"/>
              </w:rPr>
            </w:pPr>
            <w:r w:rsidRPr="00A426D6">
              <w:rPr>
                <w:sz w:val="20"/>
                <w:szCs w:val="20"/>
              </w:rPr>
              <w:t>I—IV</w:t>
            </w:r>
          </w:p>
          <w:p w:rsidR="00F8596B" w:rsidRPr="00A426D6" w:rsidRDefault="00F8596B" w:rsidP="00A426D6">
            <w:pPr>
              <w:spacing w:line="360" w:lineRule="auto"/>
              <w:rPr>
                <w:sz w:val="20"/>
                <w:szCs w:val="20"/>
              </w:rPr>
            </w:pPr>
            <w:r w:rsidRPr="00A426D6">
              <w:rPr>
                <w:sz w:val="20"/>
                <w:szCs w:val="20"/>
              </w:rPr>
              <w:t>кварталы</w:t>
            </w:r>
          </w:p>
        </w:tc>
      </w:tr>
      <w:tr w:rsidR="00F8596B" w:rsidRPr="00A426D6" w:rsidTr="00A426D6">
        <w:trPr>
          <w:gridBefore w:val="1"/>
          <w:wBefore w:w="44" w:type="dxa"/>
          <w:trHeight w:hRule="exact" w:val="1415"/>
          <w:jc w:val="center"/>
        </w:trPr>
        <w:tc>
          <w:tcPr>
            <w:tcW w:w="7895"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A426D6" w:rsidRDefault="00F8596B" w:rsidP="00A426D6">
            <w:pPr>
              <w:spacing w:line="360" w:lineRule="auto"/>
              <w:rPr>
                <w:sz w:val="20"/>
                <w:szCs w:val="20"/>
              </w:rPr>
            </w:pPr>
            <w:r w:rsidRPr="00A426D6">
              <w:rPr>
                <w:sz w:val="20"/>
                <w:szCs w:val="20"/>
              </w:rPr>
              <w:t>10. Совершенствование нормативно-правового регулирования банковской деятельности, направленное на создание механизмов противодействия участию в управлении кредитными организациями лиц с сомнительной репутацией или неустойчивым финансовым положением</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F8596B" w:rsidRPr="00A426D6" w:rsidRDefault="00F8596B" w:rsidP="00A426D6">
            <w:pPr>
              <w:spacing w:line="360" w:lineRule="auto"/>
              <w:rPr>
                <w:sz w:val="20"/>
                <w:szCs w:val="20"/>
              </w:rPr>
            </w:pPr>
            <w:r w:rsidRPr="00A426D6">
              <w:rPr>
                <w:sz w:val="20"/>
                <w:szCs w:val="20"/>
              </w:rPr>
              <w:t>IV квартал</w:t>
            </w:r>
          </w:p>
        </w:tc>
      </w:tr>
      <w:tr w:rsidR="00F8596B" w:rsidRPr="00A426D6" w:rsidTr="00A426D6">
        <w:trPr>
          <w:gridBefore w:val="1"/>
          <w:wBefore w:w="44" w:type="dxa"/>
          <w:trHeight w:hRule="exact" w:val="240"/>
          <w:jc w:val="center"/>
        </w:trPr>
        <w:tc>
          <w:tcPr>
            <w:tcW w:w="9114" w:type="dxa"/>
            <w:gridSpan w:val="4"/>
            <w:tcBorders>
              <w:top w:val="single" w:sz="6" w:space="0" w:color="auto"/>
              <w:left w:val="single" w:sz="6" w:space="0" w:color="auto"/>
              <w:bottom w:val="single" w:sz="6" w:space="0" w:color="auto"/>
              <w:right w:val="single" w:sz="6" w:space="0" w:color="auto"/>
            </w:tcBorders>
            <w:shd w:val="clear" w:color="auto" w:fill="FFFFFF"/>
          </w:tcPr>
          <w:p w:rsidR="00F8596B" w:rsidRPr="00A426D6" w:rsidRDefault="00F8596B" w:rsidP="00A426D6">
            <w:pPr>
              <w:spacing w:line="360" w:lineRule="auto"/>
              <w:rPr>
                <w:sz w:val="20"/>
                <w:szCs w:val="20"/>
              </w:rPr>
            </w:pPr>
            <w:r w:rsidRPr="00A426D6">
              <w:rPr>
                <w:sz w:val="20"/>
                <w:szCs w:val="20"/>
              </w:rPr>
              <w:t>Финансовые рынки</w:t>
            </w:r>
          </w:p>
        </w:tc>
      </w:tr>
      <w:tr w:rsidR="00107B56" w:rsidRPr="00A426D6" w:rsidTr="00A426D6">
        <w:trPr>
          <w:gridBefore w:val="1"/>
          <w:wBefore w:w="44" w:type="dxa"/>
          <w:trHeight w:hRule="exact" w:val="602"/>
          <w:jc w:val="center"/>
        </w:trPr>
        <w:tc>
          <w:tcPr>
            <w:tcW w:w="7895"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Содержание мероприятий</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Срок исполнения</w:t>
            </w:r>
          </w:p>
        </w:tc>
      </w:tr>
      <w:tr w:rsidR="00107B56" w:rsidRPr="00A426D6" w:rsidTr="00A426D6">
        <w:trPr>
          <w:gridBefore w:val="1"/>
          <w:wBefore w:w="44" w:type="dxa"/>
          <w:trHeight w:hRule="exact" w:val="992"/>
          <w:jc w:val="center"/>
        </w:trPr>
        <w:tc>
          <w:tcPr>
            <w:tcW w:w="7895"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11. Продолжение работы по совершенствованию нормативной базы, регламентирующей проведение сделок РЕПО на рынке ОФЗ, в том числе сделок РЕПО с центральным контрагентом</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II—IV кварталы</w:t>
            </w:r>
          </w:p>
        </w:tc>
      </w:tr>
      <w:tr w:rsidR="00107B56" w:rsidRPr="00A426D6" w:rsidTr="00A426D6">
        <w:trPr>
          <w:gridBefore w:val="1"/>
          <w:wBefore w:w="44" w:type="dxa"/>
          <w:trHeight w:hRule="exact" w:val="991"/>
          <w:jc w:val="center"/>
        </w:trPr>
        <w:tc>
          <w:tcPr>
            <w:tcW w:w="7895"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12. Подготовка совместно с Минфином России предложений по совершенствованию нормативной базы обмена обращающихся на рынке выпусков ОФЗ на размещаемые Минфином России облигации базовых выпускор</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II—IV кварталы</w:t>
            </w:r>
          </w:p>
        </w:tc>
      </w:tr>
      <w:tr w:rsidR="00107B56" w:rsidRPr="00A426D6" w:rsidTr="00A426D6">
        <w:trPr>
          <w:gridBefore w:val="1"/>
          <w:wBefore w:w="44" w:type="dxa"/>
          <w:trHeight w:hRule="exact" w:val="695"/>
          <w:jc w:val="center"/>
        </w:trPr>
        <w:tc>
          <w:tcPr>
            <w:tcW w:w="7895"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13. Участие в подготовке &gt;гр* "гэжений по формированию нормативно-правовой среды для деятельности центра иных депозитариев</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I—III кварталы</w:t>
            </w:r>
          </w:p>
        </w:tc>
      </w:tr>
      <w:tr w:rsidR="00107B56" w:rsidRPr="00A426D6" w:rsidTr="00A426D6">
        <w:trPr>
          <w:gridBefore w:val="1"/>
          <w:wBefore w:w="44" w:type="dxa"/>
          <w:trHeight w:hRule="exact" w:val="576"/>
          <w:jc w:val="center"/>
        </w:trPr>
        <w:tc>
          <w:tcPr>
            <w:tcW w:w="7895"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14. Продолжение работы по совершенствованию законодательства о клиринговой деятельности</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II—IV кварталы</w:t>
            </w:r>
          </w:p>
        </w:tc>
      </w:tr>
      <w:tr w:rsidR="00107B56" w:rsidRPr="00A426D6" w:rsidTr="00A426D6">
        <w:trPr>
          <w:gridBefore w:val="1"/>
          <w:wBefore w:w="44" w:type="dxa"/>
          <w:trHeight w:hRule="exact" w:val="570"/>
          <w:jc w:val="center"/>
        </w:trPr>
        <w:tc>
          <w:tcPr>
            <w:tcW w:w="7895"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15. Участие в работе по внедрению механизмов предоставления ценных бумаг на возвратной основе</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IV</w:t>
            </w:r>
          </w:p>
          <w:p w:rsidR="00107B56" w:rsidRPr="00A426D6" w:rsidRDefault="00107B56" w:rsidP="00A426D6">
            <w:pPr>
              <w:spacing w:line="360" w:lineRule="auto"/>
              <w:rPr>
                <w:sz w:val="20"/>
                <w:szCs w:val="20"/>
              </w:rPr>
            </w:pPr>
            <w:r w:rsidRPr="00A426D6">
              <w:rPr>
                <w:sz w:val="20"/>
                <w:szCs w:val="20"/>
              </w:rPr>
              <w:t>квартал</w:t>
            </w:r>
          </w:p>
        </w:tc>
      </w:tr>
      <w:tr w:rsidR="00107B56" w:rsidRPr="00A426D6" w:rsidTr="00A426D6">
        <w:trPr>
          <w:gridBefore w:val="1"/>
          <w:wBefore w:w="44" w:type="dxa"/>
          <w:trHeight w:hRule="exact" w:val="480"/>
          <w:jc w:val="center"/>
        </w:trPr>
        <w:tc>
          <w:tcPr>
            <w:tcW w:w="7895"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16. Содействие развитию системы индикаторов рыночных процентных ставок</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II—IV кварталы</w:t>
            </w:r>
          </w:p>
        </w:tc>
      </w:tr>
      <w:tr w:rsidR="00107B56" w:rsidRPr="00A426D6" w:rsidTr="00A426D6">
        <w:trPr>
          <w:gridBefore w:val="1"/>
          <w:wBefore w:w="44" w:type="dxa"/>
          <w:trHeight w:hRule="exact" w:val="240"/>
          <w:jc w:val="center"/>
        </w:trPr>
        <w:tc>
          <w:tcPr>
            <w:tcW w:w="9114" w:type="dxa"/>
            <w:gridSpan w:val="4"/>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Платежная система</w:t>
            </w:r>
          </w:p>
        </w:tc>
      </w:tr>
      <w:tr w:rsidR="00107B56" w:rsidRPr="00A426D6" w:rsidTr="00A426D6">
        <w:trPr>
          <w:gridBefore w:val="1"/>
          <w:wBefore w:w="44" w:type="dxa"/>
          <w:trHeight w:hRule="exact" w:val="702"/>
          <w:jc w:val="center"/>
        </w:trPr>
        <w:tc>
          <w:tcPr>
            <w:tcW w:w="7895"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17. Развитие системы валовых расчетов в режиме реального времени</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I—IV кварталы</w:t>
            </w:r>
          </w:p>
        </w:tc>
      </w:tr>
      <w:tr w:rsidR="00107B56" w:rsidRPr="00A426D6" w:rsidTr="00A426D6">
        <w:trPr>
          <w:gridBefore w:val="1"/>
          <w:wBefore w:w="44" w:type="dxa"/>
          <w:trHeight w:hRule="exact" w:val="651"/>
          <w:jc w:val="center"/>
        </w:trPr>
        <w:tc>
          <w:tcPr>
            <w:tcW w:w="7895"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18. Завершение мероприятий по установлению порядка наблюдения Банком России за частными платежными системами</w:t>
            </w:r>
          </w:p>
        </w:tc>
        <w:tc>
          <w:tcPr>
            <w:tcW w:w="1219" w:type="dxa"/>
            <w:gridSpan w:val="2"/>
            <w:tcBorders>
              <w:top w:val="single" w:sz="6" w:space="0" w:color="auto"/>
              <w:left w:val="single" w:sz="6" w:space="0" w:color="auto"/>
              <w:bottom w:val="single" w:sz="6" w:space="0" w:color="auto"/>
              <w:right w:val="single" w:sz="6" w:space="0" w:color="auto"/>
            </w:tcBorders>
            <w:shd w:val="clear" w:color="auto" w:fill="FFFFFF"/>
          </w:tcPr>
          <w:p w:rsidR="00107B56" w:rsidRPr="00A426D6" w:rsidRDefault="00107B56" w:rsidP="00A426D6">
            <w:pPr>
              <w:spacing w:line="360" w:lineRule="auto"/>
              <w:rPr>
                <w:sz w:val="20"/>
                <w:szCs w:val="20"/>
              </w:rPr>
            </w:pPr>
            <w:r w:rsidRPr="00A426D6">
              <w:rPr>
                <w:sz w:val="20"/>
                <w:szCs w:val="20"/>
              </w:rPr>
              <w:t>III квартал</w:t>
            </w:r>
            <w:r w:rsidR="006A608C" w:rsidRPr="00A426D6">
              <w:rPr>
                <w:sz w:val="20"/>
                <w:szCs w:val="20"/>
              </w:rPr>
              <w:t xml:space="preserve"> </w:t>
            </w:r>
          </w:p>
        </w:tc>
      </w:tr>
    </w:tbl>
    <w:p w:rsidR="001F3CBD" w:rsidRPr="006A608C" w:rsidRDefault="001F3CBD" w:rsidP="00A426D6">
      <w:pPr>
        <w:spacing w:line="360" w:lineRule="auto"/>
        <w:ind w:firstLine="709"/>
        <w:jc w:val="both"/>
      </w:pPr>
      <w:bookmarkStart w:id="1" w:name="_GoBack"/>
      <w:bookmarkEnd w:id="1"/>
    </w:p>
    <w:sectPr w:rsidR="001F3CBD" w:rsidRPr="006A608C" w:rsidSect="006A608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F9" w:rsidRDefault="00C043F9">
      <w:r>
        <w:separator/>
      </w:r>
    </w:p>
  </w:endnote>
  <w:endnote w:type="continuationSeparator" w:id="0">
    <w:p w:rsidR="00C043F9" w:rsidRDefault="00C0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F9" w:rsidRDefault="00C043F9">
      <w:r>
        <w:separator/>
      </w:r>
    </w:p>
  </w:footnote>
  <w:footnote w:type="continuationSeparator" w:id="0">
    <w:p w:rsidR="00C043F9" w:rsidRDefault="00C04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5EAC64"/>
    <w:lvl w:ilvl="0">
      <w:numFmt w:val="decimal"/>
      <w:lvlText w:val="*"/>
      <w:lvlJc w:val="left"/>
      <w:rPr>
        <w:rFonts w:cs="Times New Roman"/>
      </w:rPr>
    </w:lvl>
  </w:abstractNum>
  <w:abstractNum w:abstractNumId="1">
    <w:nsid w:val="4C7B4C5F"/>
    <w:multiLevelType w:val="multilevel"/>
    <w:tmpl w:val="1CF688E4"/>
    <w:lvl w:ilvl="0">
      <w:start w:val="2"/>
      <w:numFmt w:val="decimal"/>
      <w:lvlText w:val="%1"/>
      <w:lvlJc w:val="left"/>
      <w:pPr>
        <w:tabs>
          <w:tab w:val="num" w:pos="492"/>
        </w:tabs>
        <w:ind w:left="492" w:hanging="492"/>
      </w:pPr>
      <w:rPr>
        <w:rFonts w:cs="Times New Roman" w:hint="default"/>
      </w:rPr>
    </w:lvl>
    <w:lvl w:ilvl="1">
      <w:start w:val="3"/>
      <w:numFmt w:val="decimal"/>
      <w:lvlText w:val="%1.%2"/>
      <w:lvlJc w:val="left"/>
      <w:pPr>
        <w:tabs>
          <w:tab w:val="num" w:pos="4812"/>
        </w:tabs>
        <w:ind w:left="4812" w:hanging="492"/>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59FA0AB3"/>
    <w:multiLevelType w:val="singleLevel"/>
    <w:tmpl w:val="41FA8538"/>
    <w:lvl w:ilvl="0">
      <w:start w:val="2"/>
      <w:numFmt w:val="decimal"/>
      <w:lvlText w:val="%1."/>
      <w:legacy w:legacy="1" w:legacySpace="0" w:legacyIndent="216"/>
      <w:lvlJc w:val="left"/>
      <w:rPr>
        <w:rFonts w:ascii="Arial" w:hAnsi="Arial" w:cs="Arial" w:hint="default"/>
      </w:rPr>
    </w:lvl>
  </w:abstractNum>
  <w:abstractNum w:abstractNumId="3">
    <w:nsid w:val="5DE679BE"/>
    <w:multiLevelType w:val="singleLevel"/>
    <w:tmpl w:val="8F566BAE"/>
    <w:lvl w:ilvl="0">
      <w:start w:val="2009"/>
      <w:numFmt w:val="decimal"/>
      <w:lvlText w:val="%1"/>
      <w:legacy w:legacy="1" w:legacySpace="0" w:legacyIndent="499"/>
      <w:lvlJc w:val="left"/>
      <w:rPr>
        <w:rFonts w:ascii="Times New Roman" w:hAnsi="Times New Roman" w:cs="Times New Roman" w:hint="default"/>
      </w:rPr>
    </w:lvl>
  </w:abstractNum>
  <w:num w:numId="1">
    <w:abstractNumId w:val="1"/>
  </w:num>
  <w:num w:numId="2">
    <w:abstractNumId w:val="2"/>
  </w:num>
  <w:num w:numId="3">
    <w:abstractNumId w:val="0"/>
    <w:lvlOverride w:ilvl="0">
      <w:lvl w:ilvl="0">
        <w:numFmt w:val="bullet"/>
        <w:lvlText w:val="•"/>
        <w:legacy w:legacy="1" w:legacySpace="0" w:legacyIndent="216"/>
        <w:lvlJc w:val="left"/>
        <w:rPr>
          <w:rFonts w:ascii="Arial" w:hAnsi="Arial" w:hint="default"/>
        </w:rPr>
      </w:lvl>
    </w:lvlOverride>
  </w:num>
  <w:num w:numId="4">
    <w:abstractNumId w:val="0"/>
    <w:lvlOverride w:ilvl="0">
      <w:lvl w:ilvl="0">
        <w:numFmt w:val="bullet"/>
        <w:lvlText w:val="•"/>
        <w:legacy w:legacy="1" w:legacySpace="0" w:legacyIndent="211"/>
        <w:lvlJc w:val="left"/>
        <w:rPr>
          <w:rFonts w:ascii="Arial" w:hAnsi="Arial" w:hint="default"/>
        </w:rPr>
      </w:lvl>
    </w:lvlOverride>
  </w:num>
  <w:num w:numId="5">
    <w:abstractNumId w:val="0"/>
    <w:lvlOverride w:ilvl="0">
      <w:lvl w:ilvl="0">
        <w:numFmt w:val="bullet"/>
        <w:lvlText w:val="•"/>
        <w:legacy w:legacy="1" w:legacySpace="0" w:legacyIndent="212"/>
        <w:lvlJc w:val="left"/>
        <w:rPr>
          <w:rFonts w:ascii="Arial" w:hAnsi="Arial" w:hint="default"/>
        </w:rPr>
      </w:lvl>
    </w:lvlOverride>
  </w:num>
  <w:num w:numId="6">
    <w:abstractNumId w:val="3"/>
  </w:num>
  <w:num w:numId="7">
    <w:abstractNumId w:val="3"/>
    <w:lvlOverride w:ilvl="0">
      <w:lvl w:ilvl="0">
        <w:start w:val="2009"/>
        <w:numFmt w:val="decimal"/>
        <w:lvlText w:val="%1"/>
        <w:legacy w:legacy="1" w:legacySpace="0" w:legacyIndent="498"/>
        <w:lvlJc w:val="left"/>
        <w:rPr>
          <w:rFonts w:ascii="Times New Roman" w:hAnsi="Times New Roman" w:cs="Times New Roman" w:hint="default"/>
        </w:rPr>
      </w:lvl>
    </w:lvlOverride>
  </w:num>
  <w:num w:numId="8">
    <w:abstractNumId w:val="0"/>
    <w:lvlOverride w:ilvl="0">
      <w:lvl w:ilvl="0">
        <w:numFmt w:val="bullet"/>
        <w:lvlText w:val="—"/>
        <w:legacy w:legacy="1" w:legacySpace="0" w:legacyIndent="298"/>
        <w:lvlJc w:val="left"/>
        <w:rPr>
          <w:rFonts w:ascii="Times New Roman" w:hAnsi="Times New Roman" w:hint="default"/>
        </w:rPr>
      </w:lvl>
    </w:lvlOverride>
  </w:num>
  <w:num w:numId="9">
    <w:abstractNumId w:val="0"/>
    <w:lvlOverride w:ilvl="0">
      <w:lvl w:ilvl="0">
        <w:numFmt w:val="bullet"/>
        <w:lvlText w:val="—"/>
        <w:legacy w:legacy="1" w:legacySpace="0" w:legacyIndent="283"/>
        <w:lvlJc w:val="left"/>
        <w:rPr>
          <w:rFonts w:ascii="Times New Roman" w:hAnsi="Times New Roman" w:hint="default"/>
        </w:rPr>
      </w:lvl>
    </w:lvlOverride>
  </w:num>
  <w:num w:numId="10">
    <w:abstractNumId w:val="0"/>
    <w:lvlOverride w:ilvl="0">
      <w:lvl w:ilvl="0">
        <w:numFmt w:val="bullet"/>
        <w:lvlText w:val="—"/>
        <w:legacy w:legacy="1" w:legacySpace="0" w:legacyIndent="32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82"/>
    <w:rsid w:val="00000742"/>
    <w:rsid w:val="00003DE7"/>
    <w:rsid w:val="00004454"/>
    <w:rsid w:val="00037E69"/>
    <w:rsid w:val="000A10E7"/>
    <w:rsid w:val="000B4448"/>
    <w:rsid w:val="000E6911"/>
    <w:rsid w:val="001039C0"/>
    <w:rsid w:val="00107B56"/>
    <w:rsid w:val="001244FF"/>
    <w:rsid w:val="00155F00"/>
    <w:rsid w:val="001D32A6"/>
    <w:rsid w:val="001F3CBD"/>
    <w:rsid w:val="00213AFE"/>
    <w:rsid w:val="00213E77"/>
    <w:rsid w:val="00214502"/>
    <w:rsid w:val="00220704"/>
    <w:rsid w:val="00261073"/>
    <w:rsid w:val="002A30E6"/>
    <w:rsid w:val="002C77ED"/>
    <w:rsid w:val="002C7D6D"/>
    <w:rsid w:val="002D3EE0"/>
    <w:rsid w:val="002E545D"/>
    <w:rsid w:val="00315F46"/>
    <w:rsid w:val="00322B94"/>
    <w:rsid w:val="00330DAD"/>
    <w:rsid w:val="00341EFA"/>
    <w:rsid w:val="003429CF"/>
    <w:rsid w:val="00381897"/>
    <w:rsid w:val="003932EC"/>
    <w:rsid w:val="003D37AD"/>
    <w:rsid w:val="003E6062"/>
    <w:rsid w:val="003F2018"/>
    <w:rsid w:val="00422865"/>
    <w:rsid w:val="00491E7E"/>
    <w:rsid w:val="004D3F8B"/>
    <w:rsid w:val="004F0660"/>
    <w:rsid w:val="00517745"/>
    <w:rsid w:val="00527BA0"/>
    <w:rsid w:val="00546888"/>
    <w:rsid w:val="00552670"/>
    <w:rsid w:val="0058674C"/>
    <w:rsid w:val="0059401D"/>
    <w:rsid w:val="005C4A4C"/>
    <w:rsid w:val="005D4100"/>
    <w:rsid w:val="0064613E"/>
    <w:rsid w:val="006520CD"/>
    <w:rsid w:val="00654BEB"/>
    <w:rsid w:val="006979D4"/>
    <w:rsid w:val="006A18C8"/>
    <w:rsid w:val="006A608C"/>
    <w:rsid w:val="006C6AE6"/>
    <w:rsid w:val="006F4099"/>
    <w:rsid w:val="0070328D"/>
    <w:rsid w:val="00731497"/>
    <w:rsid w:val="00731EF3"/>
    <w:rsid w:val="00791440"/>
    <w:rsid w:val="007B6DDE"/>
    <w:rsid w:val="008127FE"/>
    <w:rsid w:val="00872544"/>
    <w:rsid w:val="00895FF8"/>
    <w:rsid w:val="008A69CB"/>
    <w:rsid w:val="008B5928"/>
    <w:rsid w:val="009037CE"/>
    <w:rsid w:val="00966893"/>
    <w:rsid w:val="00994A98"/>
    <w:rsid w:val="009D7DEF"/>
    <w:rsid w:val="009F1982"/>
    <w:rsid w:val="00A10821"/>
    <w:rsid w:val="00A30E5B"/>
    <w:rsid w:val="00A32050"/>
    <w:rsid w:val="00A4086C"/>
    <w:rsid w:val="00A426D6"/>
    <w:rsid w:val="00A628F8"/>
    <w:rsid w:val="00A65A38"/>
    <w:rsid w:val="00A67401"/>
    <w:rsid w:val="00A96089"/>
    <w:rsid w:val="00AA7998"/>
    <w:rsid w:val="00AB0C05"/>
    <w:rsid w:val="00AD3017"/>
    <w:rsid w:val="00AE20E5"/>
    <w:rsid w:val="00AF0C4A"/>
    <w:rsid w:val="00AF0FD2"/>
    <w:rsid w:val="00AF1B23"/>
    <w:rsid w:val="00B17A8D"/>
    <w:rsid w:val="00B22EDF"/>
    <w:rsid w:val="00B306D2"/>
    <w:rsid w:val="00B67DFB"/>
    <w:rsid w:val="00BE694C"/>
    <w:rsid w:val="00C01A31"/>
    <w:rsid w:val="00C043F9"/>
    <w:rsid w:val="00C112BF"/>
    <w:rsid w:val="00C43EAF"/>
    <w:rsid w:val="00C67A03"/>
    <w:rsid w:val="00CE5CC2"/>
    <w:rsid w:val="00CF0EB5"/>
    <w:rsid w:val="00CF3DD1"/>
    <w:rsid w:val="00D243B1"/>
    <w:rsid w:val="00D4251F"/>
    <w:rsid w:val="00D50391"/>
    <w:rsid w:val="00D552F7"/>
    <w:rsid w:val="00D66E95"/>
    <w:rsid w:val="00DA1BC2"/>
    <w:rsid w:val="00DF3E82"/>
    <w:rsid w:val="00E01C6B"/>
    <w:rsid w:val="00E13BE5"/>
    <w:rsid w:val="00EB7CE0"/>
    <w:rsid w:val="00ED579C"/>
    <w:rsid w:val="00F14CB2"/>
    <w:rsid w:val="00F639EB"/>
    <w:rsid w:val="00F767E9"/>
    <w:rsid w:val="00F8596B"/>
    <w:rsid w:val="00F908A0"/>
    <w:rsid w:val="00F9497A"/>
    <w:rsid w:val="00FB3E0D"/>
    <w:rsid w:val="00FC19E4"/>
    <w:rsid w:val="00FC4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904D5F96-32BA-454F-998C-F65E639B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01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994A98"/>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Indent"/>
    <w:basedOn w:val="a6"/>
    <w:link w:val="a7"/>
    <w:uiPriority w:val="99"/>
    <w:rsid w:val="00966893"/>
    <w:pPr>
      <w:autoSpaceDE w:val="0"/>
      <w:autoSpaceDN w:val="0"/>
      <w:spacing w:after="0" w:line="360" w:lineRule="auto"/>
      <w:ind w:firstLine="720"/>
      <w:jc w:val="both"/>
    </w:pPr>
    <w:rPr>
      <w:b/>
      <w:bCs/>
      <w:sz w:val="26"/>
      <w:szCs w:val="26"/>
    </w:rPr>
  </w:style>
  <w:style w:type="character" w:customStyle="1" w:styleId="a7">
    <w:name w:val="Основной текст с отступом Знак"/>
    <w:link w:val="a5"/>
    <w:uiPriority w:val="99"/>
    <w:semiHidden/>
    <w:rPr>
      <w:sz w:val="28"/>
      <w:szCs w:val="28"/>
    </w:rPr>
  </w:style>
  <w:style w:type="paragraph" w:styleId="a6">
    <w:name w:val="Body Text"/>
    <w:basedOn w:val="a"/>
    <w:link w:val="a8"/>
    <w:uiPriority w:val="99"/>
    <w:rsid w:val="00966893"/>
    <w:pPr>
      <w:spacing w:after="120"/>
    </w:pPr>
  </w:style>
  <w:style w:type="character" w:customStyle="1" w:styleId="a8">
    <w:name w:val="Основной текст Знак"/>
    <w:link w:val="a6"/>
    <w:uiPriority w:val="99"/>
    <w:semiHidden/>
    <w:rPr>
      <w:sz w:val="28"/>
      <w:szCs w:val="28"/>
    </w:rPr>
  </w:style>
  <w:style w:type="paragraph" w:styleId="2">
    <w:name w:val="Body Text Indent 2"/>
    <w:basedOn w:val="a"/>
    <w:link w:val="20"/>
    <w:uiPriority w:val="99"/>
    <w:rsid w:val="00003DE7"/>
    <w:pPr>
      <w:spacing w:after="120" w:line="480" w:lineRule="auto"/>
      <w:ind w:left="283"/>
    </w:pPr>
  </w:style>
  <w:style w:type="character" w:customStyle="1" w:styleId="20">
    <w:name w:val="Основной текст с отступом 2 Знак"/>
    <w:link w:val="2"/>
    <w:uiPriority w:val="99"/>
    <w:semiHidden/>
    <w:rPr>
      <w:sz w:val="28"/>
      <w:szCs w:val="28"/>
    </w:rPr>
  </w:style>
  <w:style w:type="paragraph" w:customStyle="1" w:styleId="FR2">
    <w:name w:val="FR2"/>
    <w:rsid w:val="00F767E9"/>
    <w:pPr>
      <w:widowControl w:val="0"/>
      <w:spacing w:line="320" w:lineRule="auto"/>
      <w:ind w:firstLine="180"/>
      <w:jc w:val="both"/>
    </w:pPr>
    <w:rPr>
      <w:sz w:val="12"/>
    </w:rPr>
  </w:style>
  <w:style w:type="table" w:styleId="a9">
    <w:name w:val="Table Grid"/>
    <w:basedOn w:val="a1"/>
    <w:uiPriority w:val="59"/>
    <w:rsid w:val="00586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rsid w:val="00527BA0"/>
    <w:pPr>
      <w:jc w:val="both"/>
    </w:pPr>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527BA0"/>
    <w:rPr>
      <w:rFonts w:cs="Times New Roman"/>
      <w:vertAlign w:val="superscript"/>
    </w:rPr>
  </w:style>
  <w:style w:type="paragraph" w:customStyle="1" w:styleId="ConsPlusNormal">
    <w:name w:val="ConsPlusNormal"/>
    <w:rsid w:val="003E6062"/>
    <w:pPr>
      <w:widowControl w:val="0"/>
      <w:autoSpaceDE w:val="0"/>
      <w:autoSpaceDN w:val="0"/>
      <w:adjustRightInd w:val="0"/>
      <w:ind w:firstLine="720"/>
    </w:pPr>
  </w:style>
  <w:style w:type="paragraph" w:customStyle="1" w:styleId="ConsPlusNonformat">
    <w:name w:val="ConsPlusNonformat"/>
    <w:rsid w:val="003E6062"/>
    <w:pPr>
      <w:widowControl w:val="0"/>
      <w:autoSpaceDE w:val="0"/>
      <w:autoSpaceDN w:val="0"/>
      <w:adjustRightInd w:val="0"/>
    </w:pPr>
    <w:rPr>
      <w:rFonts w:ascii="Courier New" w:hAnsi="Courier New" w:cs="Courier New"/>
    </w:rPr>
  </w:style>
  <w:style w:type="paragraph" w:customStyle="1" w:styleId="ConsPlusTitle">
    <w:name w:val="ConsPlusTitle"/>
    <w:rsid w:val="003E6062"/>
    <w:pPr>
      <w:widowControl w:val="0"/>
      <w:autoSpaceDE w:val="0"/>
      <w:autoSpaceDN w:val="0"/>
      <w:adjustRightInd w:val="0"/>
    </w:pPr>
    <w:rPr>
      <w:b/>
      <w:bCs/>
    </w:rPr>
  </w:style>
  <w:style w:type="paragraph" w:customStyle="1" w:styleId="ConsPlusCell">
    <w:name w:val="ConsPlusCell"/>
    <w:rsid w:val="003E6062"/>
    <w:pPr>
      <w:widowControl w:val="0"/>
      <w:autoSpaceDE w:val="0"/>
      <w:autoSpaceDN w:val="0"/>
      <w:adjustRightInd w:val="0"/>
    </w:pPr>
  </w:style>
  <w:style w:type="paragraph" w:customStyle="1" w:styleId="ConsPlusDocList">
    <w:name w:val="ConsPlusDocList"/>
    <w:rsid w:val="003E6062"/>
    <w:pPr>
      <w:widowControl w:val="0"/>
      <w:autoSpaceDE w:val="0"/>
      <w:autoSpaceDN w:val="0"/>
      <w:adjustRightInd w:val="0"/>
    </w:pPr>
    <w:rPr>
      <w:rFonts w:ascii="Courier New" w:hAnsi="Courier New" w:cs="Courier New"/>
    </w:rPr>
  </w:style>
  <w:style w:type="paragraph" w:styleId="ad">
    <w:name w:val="Normal (Web)"/>
    <w:basedOn w:val="a"/>
    <w:uiPriority w:val="99"/>
    <w:rsid w:val="0022070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6536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13631</Words>
  <Characters>77702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cp:revision>
  <cp:lastPrinted>2008-06-08T14:15:00Z</cp:lastPrinted>
  <dcterms:created xsi:type="dcterms:W3CDTF">2014-03-13T06:24:00Z</dcterms:created>
  <dcterms:modified xsi:type="dcterms:W3CDTF">2014-03-13T06:24:00Z</dcterms:modified>
</cp:coreProperties>
</file>