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E8" w:rsidRPr="0038608B" w:rsidRDefault="00D10B77" w:rsidP="0038608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b/>
          <w:bCs/>
          <w:color w:val="000000"/>
          <w:sz w:val="28"/>
          <w:szCs w:val="28"/>
        </w:rPr>
        <w:t>Введение</w:t>
      </w:r>
    </w:p>
    <w:p w:rsidR="0038608B" w:rsidRDefault="0038608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08B" w:rsidRDefault="00223AD5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Европейский Союз на сегодняшний день является успешным </w:t>
      </w:r>
      <w:r w:rsidR="00BF35A0" w:rsidRPr="0038608B">
        <w:rPr>
          <w:color w:val="000000"/>
          <w:sz w:val="28"/>
          <w:szCs w:val="28"/>
        </w:rPr>
        <w:t xml:space="preserve">интеграционным </w:t>
      </w:r>
      <w:r w:rsidRPr="0038608B">
        <w:rPr>
          <w:color w:val="000000"/>
          <w:sz w:val="28"/>
          <w:szCs w:val="28"/>
        </w:rPr>
        <w:t xml:space="preserve">образованием. В его состав входят почти все европейские страны, при этом достаточно часто происходят новые расширения. </w:t>
      </w:r>
      <w:r w:rsidR="000D5A60" w:rsidRPr="0038608B">
        <w:rPr>
          <w:color w:val="000000"/>
          <w:sz w:val="28"/>
          <w:szCs w:val="28"/>
        </w:rPr>
        <w:t xml:space="preserve">1 мая 2004 года в его ряды вступили десять новых стран: Венгрия, Кипр, Латвия, Литва, Мальта, Польша, Словакия, Словения, Чехия и Эстония. </w:t>
      </w:r>
      <w:r w:rsidR="006D00C9" w:rsidRPr="0038608B">
        <w:rPr>
          <w:color w:val="000000"/>
          <w:sz w:val="28"/>
          <w:szCs w:val="28"/>
        </w:rPr>
        <w:t>Это расширение</w:t>
      </w:r>
      <w:r w:rsidR="00C93E05" w:rsidRPr="0038608B">
        <w:rPr>
          <w:color w:val="000000"/>
          <w:sz w:val="28"/>
          <w:szCs w:val="28"/>
        </w:rPr>
        <w:t xml:space="preserve"> стало невиданным</w:t>
      </w:r>
      <w:r w:rsidR="000D5A60" w:rsidRPr="0038608B">
        <w:rPr>
          <w:color w:val="000000"/>
          <w:sz w:val="28"/>
          <w:szCs w:val="28"/>
        </w:rPr>
        <w:t xml:space="preserve"> по масштабу событие</w:t>
      </w:r>
      <w:r w:rsidR="00C93E05" w:rsidRPr="0038608B">
        <w:rPr>
          <w:color w:val="000000"/>
          <w:sz w:val="28"/>
          <w:szCs w:val="28"/>
        </w:rPr>
        <w:t>м</w:t>
      </w:r>
      <w:r w:rsidR="000D5A60" w:rsidRPr="0038608B">
        <w:rPr>
          <w:color w:val="000000"/>
          <w:sz w:val="28"/>
          <w:szCs w:val="28"/>
        </w:rPr>
        <w:t>.</w:t>
      </w:r>
      <w:r w:rsidR="00C93E05" w:rsidRPr="0038608B">
        <w:rPr>
          <w:color w:val="000000"/>
          <w:sz w:val="28"/>
          <w:szCs w:val="28"/>
        </w:rPr>
        <w:t xml:space="preserve"> Для вступивших стран это было очень важное решение, так как в результате они </w:t>
      </w:r>
      <w:r w:rsidR="006D00C9" w:rsidRPr="0038608B">
        <w:rPr>
          <w:color w:val="000000"/>
          <w:sz w:val="28"/>
          <w:szCs w:val="28"/>
        </w:rPr>
        <w:t>получали серьезную поддержку в лице Европейского Союза не только в экономическом плане, но и в политическом.</w:t>
      </w:r>
      <w:r w:rsidR="000B3128" w:rsidRPr="0038608B">
        <w:rPr>
          <w:color w:val="000000"/>
          <w:sz w:val="28"/>
          <w:szCs w:val="28"/>
        </w:rPr>
        <w:t xml:space="preserve"> Членство в ЕС рассматривалось как гарантия свободного доступа к рынкам, как поддержка экономических преобразований и как участие в финансовых трансфертах. Однако</w:t>
      </w:r>
      <w:r w:rsidR="006D00C9" w:rsidRPr="0038608B">
        <w:rPr>
          <w:color w:val="000000"/>
          <w:sz w:val="28"/>
          <w:szCs w:val="28"/>
        </w:rPr>
        <w:t xml:space="preserve"> это явилось для них сложным</w:t>
      </w:r>
      <w:r w:rsidR="00C93E05" w:rsidRPr="0038608B">
        <w:rPr>
          <w:color w:val="000000"/>
          <w:sz w:val="28"/>
          <w:szCs w:val="28"/>
        </w:rPr>
        <w:t xml:space="preserve"> испытание</w:t>
      </w:r>
      <w:r w:rsidR="006D00C9" w:rsidRPr="0038608B">
        <w:rPr>
          <w:color w:val="000000"/>
          <w:sz w:val="28"/>
          <w:szCs w:val="28"/>
        </w:rPr>
        <w:t>м</w:t>
      </w:r>
      <w:r w:rsidR="00C93E05" w:rsidRPr="0038608B">
        <w:rPr>
          <w:color w:val="000000"/>
          <w:sz w:val="28"/>
          <w:szCs w:val="28"/>
        </w:rPr>
        <w:t>, так как за сравнительно небольшой срок им надо было провести множество реформ. Самому Евросоюзу пришлось в связи с этим расширением также провести реформы</w:t>
      </w:r>
      <w:r w:rsidR="006D00C9" w:rsidRPr="0038608B">
        <w:rPr>
          <w:color w:val="000000"/>
          <w:sz w:val="28"/>
          <w:szCs w:val="28"/>
        </w:rPr>
        <w:t>, то есть вступление новых стран подтолкнуло Европейский Союз к реформированию существующих институтов</w:t>
      </w:r>
      <w:r w:rsidR="000D5A60" w:rsidRPr="0038608B">
        <w:rPr>
          <w:color w:val="000000"/>
          <w:sz w:val="28"/>
          <w:szCs w:val="28"/>
        </w:rPr>
        <w:t>.</w:t>
      </w:r>
    </w:p>
    <w:p w:rsidR="0038608B" w:rsidRDefault="00702FC0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Именно сейчас, по происшествии трех лет, представляется возможным изучить процесс расширения Евросоюза, а также рассмотреть преимущества и недостатки данного события для стран ЦВЕ, государств-членов ЕС-15 и для самого Европейского Союза.</w:t>
      </w:r>
    </w:p>
    <w:p w:rsidR="0038608B" w:rsidRDefault="000D5A60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 учетом того, что восемь из перечисленных выше десяти стран (Венгрия, Латвия, Литва,</w:t>
      </w:r>
      <w:r w:rsidR="00C00168" w:rsidRPr="0038608B">
        <w:rPr>
          <w:color w:val="000000"/>
          <w:sz w:val="28"/>
          <w:szCs w:val="28"/>
        </w:rPr>
        <w:t xml:space="preserve"> Польша, Словакия, Словения, Чехия, Эстония) являются соседями Российской Федерации, то именно их вступление в ЕС и анализ последствий этого события представляется наиболее интересным.</w:t>
      </w:r>
      <w:r w:rsidR="00752121" w:rsidRPr="0038608B">
        <w:rPr>
          <w:color w:val="000000"/>
          <w:sz w:val="28"/>
          <w:szCs w:val="28"/>
        </w:rPr>
        <w:t xml:space="preserve"> Далее в работе будут везде подразумеваться именно эти восемь стран.</w:t>
      </w:r>
    </w:p>
    <w:p w:rsidR="00790121" w:rsidRPr="0038608B" w:rsidRDefault="002B61F3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Хронологическими рамками данного исследования являются 2004-2006 года, так как в 2004 году произошло само вступление стран ЦВЕ в Евросоюз, а 1 января 2007 года</w:t>
      </w:r>
      <w:r w:rsidR="006942F9" w:rsidRPr="0038608B">
        <w:rPr>
          <w:color w:val="000000"/>
          <w:sz w:val="28"/>
          <w:szCs w:val="28"/>
        </w:rPr>
        <w:t xml:space="preserve"> произошло очередное расширение ЕС, и кроме того, статистические материалы, которые будут задействованы в работе, наиболее полно отражают ежегодную ситуацию, так что 5 месяцев 2007 года – небольшой показатель и поэтому этот год не будет рассмотрен</w:t>
      </w:r>
      <w:r w:rsidRPr="0038608B">
        <w:rPr>
          <w:color w:val="000000"/>
          <w:sz w:val="28"/>
          <w:szCs w:val="28"/>
        </w:rPr>
        <w:t>.</w:t>
      </w:r>
    </w:p>
    <w:p w:rsidR="00790121" w:rsidRPr="0038608B" w:rsidRDefault="0079012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Объектом данной работы являе</w:t>
      </w:r>
      <w:r w:rsidR="008C3794" w:rsidRPr="0038608B">
        <w:rPr>
          <w:color w:val="000000"/>
          <w:sz w:val="28"/>
          <w:szCs w:val="28"/>
        </w:rPr>
        <w:t xml:space="preserve">тся </w:t>
      </w:r>
      <w:r w:rsidRPr="0038608B">
        <w:rPr>
          <w:color w:val="000000"/>
          <w:sz w:val="28"/>
          <w:szCs w:val="28"/>
        </w:rPr>
        <w:t>процесс интеграции стран предпоследнего расширения в ЕС.</w:t>
      </w:r>
    </w:p>
    <w:p w:rsidR="00790121" w:rsidRPr="0038608B" w:rsidRDefault="008C379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Предмето</w:t>
      </w:r>
      <w:r w:rsidR="00790121" w:rsidRPr="0038608B">
        <w:rPr>
          <w:color w:val="000000"/>
          <w:sz w:val="28"/>
          <w:szCs w:val="28"/>
        </w:rPr>
        <w:t>м являю</w:t>
      </w:r>
      <w:r w:rsidRPr="0038608B">
        <w:rPr>
          <w:color w:val="000000"/>
          <w:sz w:val="28"/>
          <w:szCs w:val="28"/>
        </w:rPr>
        <w:t>тся</w:t>
      </w:r>
      <w:r w:rsidR="00790121" w:rsidRPr="0038608B">
        <w:rPr>
          <w:color w:val="000000"/>
          <w:sz w:val="28"/>
          <w:szCs w:val="28"/>
        </w:rPr>
        <w:t xml:space="preserve"> условия, последствия и перспективы вступления стран предпоследнего расширения в ЕС.</w:t>
      </w:r>
    </w:p>
    <w:p w:rsidR="00790121" w:rsidRPr="0038608B" w:rsidRDefault="008C379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Цель исследования – </w:t>
      </w:r>
      <w:r w:rsidR="00790121" w:rsidRPr="0038608B">
        <w:rPr>
          <w:color w:val="000000"/>
          <w:sz w:val="28"/>
          <w:szCs w:val="28"/>
        </w:rPr>
        <w:t>изучить процесс вступления стран предпоследнего расширения а также изменения, произошедшие после 2004 года.</w:t>
      </w:r>
    </w:p>
    <w:p w:rsidR="00B15531" w:rsidRPr="0038608B" w:rsidRDefault="00B1553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Задачи данной исследовательской работы:</w:t>
      </w:r>
    </w:p>
    <w:p w:rsidR="00B15531" w:rsidRPr="0038608B" w:rsidRDefault="00B15531" w:rsidP="0038608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изучить требования Евросоюза, предъявляемые странам Центральной и Восточной Европы к вступлению в ЕС;</w:t>
      </w:r>
    </w:p>
    <w:p w:rsidR="00B15531" w:rsidRPr="0038608B" w:rsidRDefault="00790121" w:rsidP="0038608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определить </w:t>
      </w:r>
      <w:r w:rsidR="0078511F" w:rsidRPr="0038608B">
        <w:rPr>
          <w:color w:val="000000"/>
          <w:sz w:val="28"/>
          <w:szCs w:val="28"/>
        </w:rPr>
        <w:t>изменения, проведенные в ЕС и странах ЦВЕ на предвступительном этапе;</w:t>
      </w:r>
    </w:p>
    <w:p w:rsidR="0078511F" w:rsidRPr="0038608B" w:rsidRDefault="0078511F" w:rsidP="0038608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определить последствия вступления стран Центральной и Восточной Европы в Европейский Союз</w:t>
      </w:r>
      <w:r w:rsidR="00790121" w:rsidRPr="0038608B">
        <w:rPr>
          <w:color w:val="000000"/>
          <w:sz w:val="28"/>
          <w:szCs w:val="28"/>
        </w:rPr>
        <w:t xml:space="preserve"> для этих стран и для ЕС в целом</w:t>
      </w:r>
      <w:r w:rsidRPr="0038608B">
        <w:rPr>
          <w:color w:val="000000"/>
          <w:sz w:val="28"/>
          <w:szCs w:val="28"/>
        </w:rPr>
        <w:t>;</w:t>
      </w:r>
    </w:p>
    <w:p w:rsidR="00CF6457" w:rsidRPr="0038608B" w:rsidRDefault="0078511F" w:rsidP="0038608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выявить прогнозы и перспективы</w:t>
      </w:r>
      <w:r w:rsidR="00D4163D" w:rsidRPr="0038608B">
        <w:rPr>
          <w:color w:val="000000"/>
          <w:sz w:val="28"/>
          <w:szCs w:val="28"/>
        </w:rPr>
        <w:t xml:space="preserve"> развития стран ЦВЕ после вступления в Евросоюз.</w:t>
      </w:r>
    </w:p>
    <w:p w:rsidR="009901CA" w:rsidRPr="0038608B" w:rsidRDefault="009901CA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Данная работа состоит из трех глав, первая из которых подразделяется на два параграфа. В первой главе содержатся требования и условия вступления в Европейский Союз для государств-кандидатов, а также условия вступления в зону действия евро и условия подписания Шенгенского Соглашения. Суть второй главы сводится к анализу действий Евросоюза и стран ЦВЕ на предвступительном этапе, рассматриваются проводимые ими реформы. В третьей главе выявляются последствия пятого расширения ЕС как для самого Евросоюза, так и для Стран Центральной и Восточной Европы и исследуются перспективы развития ЕС.</w:t>
      </w:r>
    </w:p>
    <w:p w:rsidR="00F268A9" w:rsidRPr="0038608B" w:rsidRDefault="00F268A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процессе написания этой работы был использован генетический метод. В работе последовательно раскрываются изменения, происходящие с изучаемыми странами. Также по данной проблеме используется широкий фактологиче</w:t>
      </w:r>
      <w:r w:rsidR="0038608B">
        <w:rPr>
          <w:color w:val="000000"/>
          <w:sz w:val="28"/>
          <w:szCs w:val="28"/>
        </w:rPr>
        <w:t>с</w:t>
      </w:r>
      <w:r w:rsidRPr="0038608B">
        <w:rPr>
          <w:color w:val="000000"/>
          <w:sz w:val="28"/>
          <w:szCs w:val="28"/>
        </w:rPr>
        <w:t>кий материал.</w:t>
      </w:r>
    </w:p>
    <w:p w:rsidR="0038608B" w:rsidRDefault="00EC284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Для написания данной работ</w:t>
      </w:r>
      <w:r w:rsidR="00790121" w:rsidRPr="0038608B">
        <w:rPr>
          <w:color w:val="000000"/>
          <w:sz w:val="28"/>
          <w:szCs w:val="28"/>
        </w:rPr>
        <w:t>ы</w:t>
      </w:r>
      <w:r w:rsidRPr="0038608B">
        <w:rPr>
          <w:color w:val="000000"/>
          <w:sz w:val="28"/>
          <w:szCs w:val="28"/>
        </w:rPr>
        <w:t xml:space="preserve"> были использованы следующие источники.</w:t>
      </w:r>
    </w:p>
    <w:p w:rsidR="00CF6457" w:rsidRPr="0038608B" w:rsidRDefault="00EC284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первую очередь были изучены заявления</w:t>
      </w:r>
      <w:r w:rsidR="00D86995" w:rsidRPr="0038608B">
        <w:rPr>
          <w:color w:val="000000"/>
          <w:sz w:val="28"/>
          <w:szCs w:val="28"/>
        </w:rPr>
        <w:t xml:space="preserve"> восьми</w:t>
      </w:r>
      <w:r w:rsidRPr="0038608B">
        <w:rPr>
          <w:color w:val="000000"/>
          <w:sz w:val="28"/>
          <w:szCs w:val="28"/>
        </w:rPr>
        <w:t xml:space="preserve"> стран Центральной и Восточной Европы о вступлении в Евросоюз</w:t>
      </w:r>
      <w:r w:rsidR="0004295C" w:rsidRPr="0038608B">
        <w:rPr>
          <w:rStyle w:val="a8"/>
          <w:color w:val="000000"/>
          <w:sz w:val="28"/>
          <w:szCs w:val="28"/>
          <w:vertAlign w:val="baseline"/>
        </w:rPr>
        <w:footnoteReference w:id="1"/>
      </w:r>
      <w:r w:rsidRPr="0038608B">
        <w:rPr>
          <w:color w:val="000000"/>
          <w:sz w:val="28"/>
          <w:szCs w:val="28"/>
        </w:rPr>
        <w:t xml:space="preserve">. </w:t>
      </w:r>
      <w:r w:rsidR="00D86995" w:rsidRPr="0038608B">
        <w:rPr>
          <w:color w:val="000000"/>
          <w:sz w:val="28"/>
          <w:szCs w:val="28"/>
        </w:rPr>
        <w:t>Они были поданы в промежуток с марта 1994 года по июнь 1996 года. С этого момента начинается предвступительный этап, во время которого были приняты «Копенгагенские критерии»</w:t>
      </w:r>
      <w:r w:rsidR="007C3292" w:rsidRPr="0038608B">
        <w:rPr>
          <w:color w:val="000000"/>
          <w:sz w:val="28"/>
          <w:szCs w:val="28"/>
        </w:rPr>
        <w:t xml:space="preserve">, суть которых </w:t>
      </w:r>
      <w:r w:rsidR="00790121" w:rsidRPr="0038608B">
        <w:rPr>
          <w:color w:val="000000"/>
          <w:sz w:val="28"/>
          <w:szCs w:val="28"/>
        </w:rPr>
        <w:t>с</w:t>
      </w:r>
      <w:r w:rsidR="007C3292" w:rsidRPr="0038608B">
        <w:rPr>
          <w:color w:val="000000"/>
          <w:sz w:val="28"/>
          <w:szCs w:val="28"/>
        </w:rPr>
        <w:t>водилась к требованиям</w:t>
      </w:r>
      <w:r w:rsidR="00B1380E" w:rsidRPr="0038608B">
        <w:rPr>
          <w:color w:val="000000"/>
          <w:sz w:val="28"/>
          <w:szCs w:val="28"/>
        </w:rPr>
        <w:t>, предъявляемым</w:t>
      </w:r>
      <w:r w:rsidR="007C3292" w:rsidRPr="0038608B">
        <w:rPr>
          <w:color w:val="000000"/>
          <w:sz w:val="28"/>
          <w:szCs w:val="28"/>
        </w:rPr>
        <w:t xml:space="preserve"> государствам, желающим вступить в Европейский Союз.</w:t>
      </w:r>
    </w:p>
    <w:p w:rsidR="00CF6457" w:rsidRPr="0038608B" w:rsidRDefault="0079012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Важным источником для работы стало Сообщение Комиссии Европейского Союза «Повестка</w:t>
      </w:r>
      <w:r w:rsidR="007C3292" w:rsidRPr="0038608B">
        <w:rPr>
          <w:color w:val="000000"/>
          <w:sz w:val="28"/>
          <w:szCs w:val="28"/>
        </w:rPr>
        <w:t xml:space="preserve"> дня 2000года»</w:t>
      </w:r>
      <w:r w:rsidR="0004295C" w:rsidRPr="0038608B">
        <w:rPr>
          <w:rStyle w:val="a8"/>
          <w:color w:val="000000"/>
          <w:sz w:val="28"/>
          <w:szCs w:val="28"/>
          <w:vertAlign w:val="baseline"/>
        </w:rPr>
        <w:footnoteReference w:id="2"/>
      </w:r>
      <w:r w:rsidR="00CF6457" w:rsidRPr="0038608B">
        <w:rPr>
          <w:color w:val="000000"/>
          <w:sz w:val="28"/>
          <w:szCs w:val="28"/>
        </w:rPr>
        <w:t xml:space="preserve">, </w:t>
      </w:r>
      <w:r w:rsidR="007C3292" w:rsidRPr="0038608B">
        <w:rPr>
          <w:color w:val="000000"/>
          <w:sz w:val="28"/>
          <w:szCs w:val="28"/>
        </w:rPr>
        <w:t>которая являлась программой предстоящего расширения и также включала в себя необходимые для вступления в Европейский Союз условия.</w:t>
      </w:r>
    </w:p>
    <w:p w:rsidR="0038608B" w:rsidRDefault="007C329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Также было изучено «Решение Совета Европейского Союза о принятии Венгрии, Кипра, Латвии, Литвы, Мальты, Польши, Словакии, Словении, Чехии и Эстонии»</w:t>
      </w:r>
      <w:r w:rsidR="00CF6457" w:rsidRPr="0038608B">
        <w:rPr>
          <w:rStyle w:val="a8"/>
          <w:color w:val="000000"/>
          <w:sz w:val="28"/>
          <w:szCs w:val="28"/>
          <w:vertAlign w:val="baseline"/>
        </w:rPr>
        <w:footnoteReference w:id="3"/>
      </w:r>
      <w:r w:rsidRPr="0038608B">
        <w:rPr>
          <w:color w:val="000000"/>
          <w:sz w:val="28"/>
          <w:szCs w:val="28"/>
        </w:rPr>
        <w:t>, которое было принято 14 апреля 2003 года.</w:t>
      </w:r>
    </w:p>
    <w:p w:rsidR="00F65C19" w:rsidRPr="0038608B" w:rsidRDefault="00F65C1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Еще одним источником по данной проблематике являются доклады Комиссии Европейского Союза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4"/>
      </w:r>
      <w:r w:rsidRPr="0038608B">
        <w:rPr>
          <w:color w:val="000000"/>
          <w:sz w:val="28"/>
          <w:szCs w:val="28"/>
        </w:rPr>
        <w:t>, в которых подробно излагается о подготовке государств-кандидатов к вступлению в Евросоюз.</w:t>
      </w:r>
    </w:p>
    <w:p w:rsidR="00F440A4" w:rsidRPr="0038608B" w:rsidRDefault="00F440A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В качестве источников были исследованы материалы сайтов: http://www.europa.eu </w:t>
      </w:r>
      <w:r w:rsidR="00516717" w:rsidRPr="0038608B">
        <w:rPr>
          <w:color w:val="000000"/>
          <w:sz w:val="28"/>
          <w:szCs w:val="28"/>
        </w:rPr>
        <w:t>(официальный сайт Европейского Союза)</w:t>
      </w:r>
      <w:r w:rsidRPr="0038608B">
        <w:rPr>
          <w:color w:val="000000"/>
          <w:sz w:val="28"/>
          <w:szCs w:val="28"/>
        </w:rPr>
        <w:t xml:space="preserve">, http://www.mid.ru (постоянное представительство России при европейских сообществах), </w:t>
      </w:r>
      <w:r w:rsidR="00516717" w:rsidRPr="0038608B">
        <w:rPr>
          <w:color w:val="000000"/>
          <w:sz w:val="28"/>
          <w:szCs w:val="28"/>
        </w:rPr>
        <w:t>http://www.europarl.europa.eu (сайт европейского парламента), http://www.euractiv.com (сайт, содержащий документы, касающиеся Европейского Союза), в которых содержаться различные документы и аналитика о вступлении стран Центральной и Восточной Европы в Европейский Союз.</w:t>
      </w:r>
    </w:p>
    <w:p w:rsidR="00B1380E" w:rsidRPr="0038608B" w:rsidRDefault="00B1380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Были изучены в качестве источника и материалы сайта http://epp.eurostat.ec.europa.eu. Он содержит результаты различных исследований по Европейскому Союзу, статистические данные о развитии Евросоюза, вступивших и вступающих в него стран.</w:t>
      </w:r>
    </w:p>
    <w:p w:rsidR="00E50304" w:rsidRPr="0038608B" w:rsidRDefault="003B5CB5" w:rsidP="0038608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860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данной проблематике было произведено не так много научных анализов. Большая часть из них представлена в виде различных статей</w:t>
      </w:r>
      <w:r w:rsidR="00F440A4" w:rsidRPr="003860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50304" w:rsidRPr="0038608B" w:rsidRDefault="00E5030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Д.И. Воронов в своей работе сделал акцент на изучении </w:t>
      </w:r>
      <w:r w:rsidR="00526505" w:rsidRPr="0038608B">
        <w:rPr>
          <w:color w:val="000000"/>
          <w:sz w:val="28"/>
          <w:szCs w:val="28"/>
        </w:rPr>
        <w:t>условий вступления стран Центральной и Восточной Европы в Европейский Союз и на документах, принятых ЕС в связи с расширением.</w:t>
      </w:r>
    </w:p>
    <w:p w:rsidR="006F1CD2" w:rsidRPr="0038608B" w:rsidRDefault="006466D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С.П. Глинкина рассматривала в своей работе условия вступления в Европейский .Союз, проблемы, возникшие в ЕС в связи с этим, а также делала прогнозы на дальнейшее развитие расширенного Евросоюза.</w:t>
      </w:r>
    </w:p>
    <w:p w:rsidR="004A3A4E" w:rsidRPr="0038608B" w:rsidRDefault="004A3A4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Кай-Олаф Ланг в своей статье «Страны-члены Европейского Союза спустя два года после расширения: уроки и перспективы» исследует ситуацию в странах Центральной и Восточной Европы сразу после вступления, а также делает прогнозы относительно их дальнейшего развития, вступления в зону евро, присоединения к Шенгенескому Соглашению.</w:t>
      </w:r>
    </w:p>
    <w:p w:rsidR="00E50304" w:rsidRPr="0038608B" w:rsidRDefault="00E5030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Ж.К. Осадчая и К.Н. Лобанов изучали одну из проблем средних и малых стран ЕС – «борьбу за укрепление своего статуса»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5"/>
      </w:r>
      <w:r w:rsidRPr="0038608B">
        <w:rPr>
          <w:color w:val="000000"/>
          <w:sz w:val="28"/>
          <w:szCs w:val="28"/>
        </w:rPr>
        <w:t>, то есть проблемы выбора поведении относительно крупных государств-членов Европейского Союза.</w:t>
      </w:r>
    </w:p>
    <w:p w:rsidR="00526505" w:rsidRPr="0038608B" w:rsidRDefault="00526505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Ю.Пенке в своей работе сравнивал политику «старой Европы»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6"/>
      </w:r>
      <w:r w:rsidRPr="0038608B">
        <w:rPr>
          <w:color w:val="000000"/>
          <w:sz w:val="28"/>
          <w:szCs w:val="28"/>
        </w:rPr>
        <w:t xml:space="preserve"> и расширенного Союза и анализировал сотрудничество России с новым Евросоюзом.</w:t>
      </w:r>
    </w:p>
    <w:p w:rsidR="003751CB" w:rsidRPr="0038608B" w:rsidRDefault="00E5030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В.Н. Поздняков и С.П. Ганжа исследовали экономические и политические проблемы, появившиеся на предвступительном этапе как в государствах-кандидатах, так и в самом Евросоюзе.</w:t>
      </w:r>
    </w:p>
    <w:p w:rsidR="003751CB" w:rsidRPr="0038608B" w:rsidRDefault="003751C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Д.М. Сеитова изучала условия вступления в Европейский Союз, а также преимущества и недостатки интеграции для Евросоюза.</w:t>
      </w:r>
    </w:p>
    <w:p w:rsidR="004A3A4E" w:rsidRPr="0038608B" w:rsidRDefault="004A3A4E" w:rsidP="0038608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860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Л.Е. Стровский в своей работе «Расширение Европейского Союза: рождение новых проблем» кратко описывает ситуацию в странах ЦВЕ до вступления в Европейский Союз и анализирует некоторые экономические проблемы, возникшие после расширения.</w:t>
      </w:r>
    </w:p>
    <w:p w:rsidR="0038608B" w:rsidRDefault="003751C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В. Ханкель анализирует ситуацию после пятого расширения Евросоюза и изучает перспективы дальнейшего развития стран Центральной и Восточной Европы в рамках Европейского Союза.</w:t>
      </w:r>
    </w:p>
    <w:p w:rsidR="00573186" w:rsidRPr="0038608B" w:rsidRDefault="00573186" w:rsidP="0038608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38608B" w:rsidRPr="0038608B">
        <w:rPr>
          <w:b/>
          <w:bCs/>
          <w:color w:val="000000"/>
          <w:sz w:val="28"/>
          <w:szCs w:val="28"/>
        </w:rPr>
        <w:t>Г</w:t>
      </w:r>
      <w:r w:rsidR="00C00168" w:rsidRPr="0038608B">
        <w:rPr>
          <w:b/>
          <w:bCs/>
          <w:color w:val="000000"/>
          <w:sz w:val="28"/>
          <w:szCs w:val="28"/>
        </w:rPr>
        <w:t>лава</w:t>
      </w:r>
      <w:r w:rsidR="00C63B7B" w:rsidRPr="0038608B">
        <w:rPr>
          <w:b/>
          <w:bCs/>
          <w:color w:val="000000"/>
          <w:sz w:val="28"/>
          <w:szCs w:val="28"/>
        </w:rPr>
        <w:t xml:space="preserve"> 1</w:t>
      </w:r>
      <w:r w:rsidR="00C00168" w:rsidRPr="0038608B">
        <w:rPr>
          <w:b/>
          <w:bCs/>
          <w:color w:val="000000"/>
          <w:sz w:val="28"/>
          <w:szCs w:val="28"/>
        </w:rPr>
        <w:t>.</w:t>
      </w:r>
      <w:r w:rsidRPr="0038608B">
        <w:rPr>
          <w:b/>
          <w:bCs/>
          <w:color w:val="000000"/>
          <w:sz w:val="28"/>
          <w:szCs w:val="28"/>
        </w:rPr>
        <w:t xml:space="preserve"> </w:t>
      </w:r>
      <w:r w:rsidR="005A1408" w:rsidRPr="0038608B">
        <w:rPr>
          <w:b/>
          <w:bCs/>
          <w:color w:val="000000"/>
          <w:sz w:val="28"/>
          <w:szCs w:val="28"/>
        </w:rPr>
        <w:t xml:space="preserve">Условия вступления в Европейский Союз для </w:t>
      </w:r>
      <w:r w:rsidR="002A3447" w:rsidRPr="0038608B">
        <w:rPr>
          <w:b/>
          <w:bCs/>
          <w:color w:val="000000"/>
          <w:sz w:val="28"/>
          <w:szCs w:val="28"/>
        </w:rPr>
        <w:t>стран</w:t>
      </w:r>
      <w:r w:rsidR="00BE0D2E" w:rsidRPr="0038608B">
        <w:rPr>
          <w:b/>
          <w:bCs/>
          <w:color w:val="000000"/>
          <w:sz w:val="28"/>
          <w:szCs w:val="28"/>
        </w:rPr>
        <w:t xml:space="preserve"> </w:t>
      </w:r>
      <w:r w:rsidR="0038608B" w:rsidRPr="0038608B">
        <w:rPr>
          <w:b/>
          <w:bCs/>
          <w:color w:val="000000"/>
          <w:sz w:val="28"/>
          <w:szCs w:val="28"/>
        </w:rPr>
        <w:t>Ц</w:t>
      </w:r>
      <w:r w:rsidR="00BE0D2E" w:rsidRPr="0038608B">
        <w:rPr>
          <w:b/>
          <w:bCs/>
          <w:color w:val="000000"/>
          <w:sz w:val="28"/>
          <w:szCs w:val="28"/>
        </w:rPr>
        <w:t xml:space="preserve">ентральной и </w:t>
      </w:r>
      <w:r w:rsidR="0038608B" w:rsidRPr="0038608B">
        <w:rPr>
          <w:b/>
          <w:bCs/>
          <w:color w:val="000000"/>
          <w:sz w:val="28"/>
          <w:szCs w:val="28"/>
        </w:rPr>
        <w:t>В</w:t>
      </w:r>
      <w:r w:rsidR="00BE0D2E" w:rsidRPr="0038608B">
        <w:rPr>
          <w:b/>
          <w:bCs/>
          <w:color w:val="000000"/>
          <w:sz w:val="28"/>
          <w:szCs w:val="28"/>
        </w:rPr>
        <w:t xml:space="preserve">осточной </w:t>
      </w:r>
      <w:r w:rsidR="0038608B" w:rsidRPr="0038608B">
        <w:rPr>
          <w:b/>
          <w:bCs/>
          <w:color w:val="000000"/>
          <w:sz w:val="28"/>
          <w:szCs w:val="28"/>
        </w:rPr>
        <w:t>Е</w:t>
      </w:r>
      <w:r w:rsidR="00BE0D2E" w:rsidRPr="0038608B">
        <w:rPr>
          <w:b/>
          <w:bCs/>
          <w:color w:val="000000"/>
          <w:sz w:val="28"/>
          <w:szCs w:val="28"/>
        </w:rPr>
        <w:t>вропы</w:t>
      </w:r>
    </w:p>
    <w:p w:rsidR="0038608B" w:rsidRPr="0038608B" w:rsidRDefault="0038608B" w:rsidP="0038608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26C31" w:rsidRPr="0038608B" w:rsidRDefault="00B26C31" w:rsidP="0038608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b/>
          <w:bCs/>
          <w:color w:val="000000"/>
          <w:sz w:val="28"/>
          <w:szCs w:val="28"/>
        </w:rPr>
        <w:t>1</w:t>
      </w:r>
      <w:r w:rsidR="00C63B7B" w:rsidRPr="0038608B">
        <w:rPr>
          <w:b/>
          <w:bCs/>
          <w:color w:val="000000"/>
          <w:sz w:val="28"/>
          <w:szCs w:val="28"/>
        </w:rPr>
        <w:t>.1</w:t>
      </w:r>
      <w:r w:rsidRPr="0038608B">
        <w:rPr>
          <w:b/>
          <w:bCs/>
          <w:color w:val="000000"/>
          <w:sz w:val="28"/>
          <w:szCs w:val="28"/>
        </w:rPr>
        <w:t xml:space="preserve"> </w:t>
      </w:r>
      <w:r w:rsidR="00BE0D2E" w:rsidRPr="0038608B">
        <w:rPr>
          <w:b/>
          <w:bCs/>
          <w:color w:val="000000"/>
          <w:sz w:val="28"/>
          <w:szCs w:val="28"/>
        </w:rPr>
        <w:t>Требования к вступлению в Европейский Союз</w:t>
      </w:r>
    </w:p>
    <w:p w:rsidR="0038608B" w:rsidRDefault="0038608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3186" w:rsidRPr="0038608B" w:rsidRDefault="0057318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На протяжении всей своей истории ЕС развивается по двум направлениям: все более полного объединения национальных хозяйств в единую региональную экономику и территориального расширения зоны интеграции (</w:t>
      </w:r>
      <w:r w:rsidRPr="0038608B">
        <w:rPr>
          <w:color w:val="000000"/>
          <w:sz w:val="28"/>
          <w:szCs w:val="28"/>
          <w:lang w:val="en-US"/>
        </w:rPr>
        <w:t>widening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and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deepening</w:t>
      </w:r>
      <w:r w:rsidRPr="0038608B">
        <w:rPr>
          <w:color w:val="000000"/>
          <w:sz w:val="28"/>
          <w:szCs w:val="28"/>
        </w:rPr>
        <w:t>).</w:t>
      </w:r>
    </w:p>
    <w:p w:rsidR="0038608B" w:rsidRDefault="0057318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Расширение ЕС призвано содействовать его экономическому и политическому развитию. Данный процесс предоставляет следующие преимущества:</w:t>
      </w:r>
    </w:p>
    <w:p w:rsidR="0038608B" w:rsidRDefault="00573186" w:rsidP="0038608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повыш</w:t>
      </w:r>
      <w:r w:rsidR="006152EB" w:rsidRPr="0038608B">
        <w:rPr>
          <w:color w:val="000000"/>
          <w:sz w:val="28"/>
          <w:szCs w:val="28"/>
        </w:rPr>
        <w:t>ение роли ЕС в мировой политике;</w:t>
      </w:r>
    </w:p>
    <w:p w:rsidR="0038608B" w:rsidRDefault="00573186" w:rsidP="0038608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усиление экономическ</w:t>
      </w:r>
      <w:r w:rsidR="006152EB" w:rsidRPr="0038608B">
        <w:rPr>
          <w:color w:val="000000"/>
          <w:sz w:val="28"/>
          <w:szCs w:val="28"/>
        </w:rPr>
        <w:t>ого веса ЕС в мировом хозяйстве;</w:t>
      </w:r>
    </w:p>
    <w:p w:rsidR="00573186" w:rsidRPr="0038608B" w:rsidRDefault="00573186" w:rsidP="0038608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расширение пояса демократии, стабильности и процветания на европейском континенте.</w:t>
      </w:r>
    </w:p>
    <w:p w:rsidR="00573186" w:rsidRPr="0038608B" w:rsidRDefault="0057318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Однако данный процесс имеет как преимущества, так и недостатки: усиливающееся разделение Европы на большие и малые, бедные и богатые государства, евроцентризм и проамериканизм, осложнение механизма принятия экономических и политических решений.</w:t>
      </w:r>
    </w:p>
    <w:p w:rsidR="009D0BC2" w:rsidRPr="0038608B" w:rsidRDefault="0057318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На сессии Европейского Союза в Эссене (1994г.) была определена стратегия «так называемого предварительного вступления»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7"/>
      </w:r>
      <w:r w:rsidRPr="0038608B">
        <w:rPr>
          <w:color w:val="000000"/>
          <w:sz w:val="28"/>
          <w:szCs w:val="28"/>
        </w:rPr>
        <w:t xml:space="preserve">, финансируемого по программе </w:t>
      </w:r>
      <w:r w:rsidRPr="0038608B">
        <w:rPr>
          <w:color w:val="000000"/>
          <w:sz w:val="28"/>
          <w:szCs w:val="28"/>
          <w:lang w:val="en-US"/>
        </w:rPr>
        <w:t>PHARE</w:t>
      </w:r>
      <w:r w:rsidRPr="0038608B">
        <w:rPr>
          <w:color w:val="000000"/>
          <w:sz w:val="28"/>
          <w:szCs w:val="28"/>
        </w:rPr>
        <w:t xml:space="preserve"> в виде помощи на сумму около 1 млрд. евро ежегодно для десяти стран-кандидатов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8"/>
      </w:r>
      <w:r w:rsidRPr="0038608B">
        <w:rPr>
          <w:color w:val="000000"/>
          <w:sz w:val="28"/>
          <w:szCs w:val="28"/>
        </w:rPr>
        <w:t>.</w:t>
      </w:r>
      <w:r w:rsidR="009D0BC2" w:rsidRPr="0038608B">
        <w:rPr>
          <w:color w:val="000000"/>
          <w:sz w:val="28"/>
          <w:szCs w:val="28"/>
        </w:rPr>
        <w:t xml:space="preserve"> Данная программа сосредотачивается на двух приоритетах:</w:t>
      </w:r>
    </w:p>
    <w:p w:rsidR="009D0BC2" w:rsidRPr="0038608B" w:rsidRDefault="009D0BC2" w:rsidP="0038608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помощь администрации государства-кандидата в осуществлении обязанностей Евросоюза</w:t>
      </w:r>
      <w:r w:rsidR="00A82935" w:rsidRPr="0038608B">
        <w:rPr>
          <w:color w:val="000000"/>
          <w:sz w:val="28"/>
          <w:szCs w:val="28"/>
        </w:rPr>
        <w:t>. Также оказывается помощь национальному и</w:t>
      </w:r>
      <w:r w:rsidR="0038608B">
        <w:rPr>
          <w:color w:val="000000"/>
          <w:sz w:val="28"/>
          <w:szCs w:val="28"/>
        </w:rPr>
        <w:t xml:space="preserve"> </w:t>
      </w:r>
      <w:r w:rsidR="00A82935" w:rsidRPr="0038608B">
        <w:rPr>
          <w:color w:val="000000"/>
          <w:sz w:val="28"/>
          <w:szCs w:val="28"/>
        </w:rPr>
        <w:t>региональному правительству;</w:t>
      </w:r>
    </w:p>
    <w:p w:rsidR="00A82935" w:rsidRPr="0038608B" w:rsidRDefault="00A82935" w:rsidP="0038608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помощь государству-кандидату, чтобы «поднять»</w:t>
      </w:r>
      <w:r w:rsidR="00F65C19" w:rsidRPr="0038608B">
        <w:rPr>
          <w:rStyle w:val="a8"/>
          <w:color w:val="000000"/>
          <w:sz w:val="28"/>
          <w:szCs w:val="28"/>
          <w:vertAlign w:val="baseline"/>
        </w:rPr>
        <w:footnoteReference w:id="9"/>
      </w:r>
      <w:r w:rsidRPr="0038608B">
        <w:rPr>
          <w:color w:val="000000"/>
          <w:sz w:val="28"/>
          <w:szCs w:val="28"/>
        </w:rPr>
        <w:t xml:space="preserve"> уровень отраслей промышленности и инфраструктуру до уровня стандартов Европейского Союза, мобилизируя необходимое вложение капитала, особенно в те сферы где ЕС особенно требовательно: </w:t>
      </w:r>
      <w:r w:rsidR="00F65C19" w:rsidRPr="0038608B">
        <w:rPr>
          <w:color w:val="000000"/>
          <w:sz w:val="28"/>
          <w:szCs w:val="28"/>
        </w:rPr>
        <w:t>окружающая среда, транспорт, промышленность, качество продукции, условия работы и др.</w:t>
      </w:r>
    </w:p>
    <w:p w:rsidR="0038608B" w:rsidRDefault="0057318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Они (каждый по отдельности) представили в 1995 году Белую книгу, где рассматривались их действия для подготовки к вступлению в единый рынок Европейского Союза. В июле 1997 года Европейская комиссия опубликовала свое мнение по поводу сложившейся ситуации, а также необходимые условия для претендентов. В соответствии с этой публикацией, страны-кандидаты должны обеспечит</w:t>
      </w:r>
      <w:r w:rsidR="006152EB" w:rsidRPr="0038608B">
        <w:rPr>
          <w:color w:val="000000"/>
          <w:sz w:val="28"/>
          <w:szCs w:val="28"/>
        </w:rPr>
        <w:t>ь</w:t>
      </w:r>
      <w:r w:rsidRPr="0038608B">
        <w:rPr>
          <w:color w:val="000000"/>
          <w:sz w:val="28"/>
          <w:szCs w:val="28"/>
        </w:rPr>
        <w:t>:</w:t>
      </w:r>
    </w:p>
    <w:p w:rsidR="0038608B" w:rsidRDefault="00573186" w:rsidP="0038608B">
      <w:pPr>
        <w:numPr>
          <w:ilvl w:val="0"/>
          <w:numId w:val="1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стабильность институтов, обеспечивающих демократию, законность, соблюдение прав человека и национальных меньшинств;</w:t>
      </w:r>
    </w:p>
    <w:p w:rsidR="00573186" w:rsidRPr="0038608B" w:rsidRDefault="00573186" w:rsidP="0038608B">
      <w:pPr>
        <w:numPr>
          <w:ilvl w:val="0"/>
          <w:numId w:val="1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наличие функционирующей рыночной экономики, способной выдерживать конкуренцию и справляться с действием рыночных сил в странах Центральной и Восточной Европы и в ЕС;</w:t>
      </w:r>
    </w:p>
    <w:p w:rsidR="00573186" w:rsidRPr="0038608B" w:rsidRDefault="00573186" w:rsidP="0038608B">
      <w:pPr>
        <w:numPr>
          <w:ilvl w:val="0"/>
          <w:numId w:val="1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готовность и способность принять на себя все обязательства, связанные с членством в ЕС, согласие с целями создания экономического и валютного союза;</w:t>
      </w:r>
    </w:p>
    <w:p w:rsidR="00573186" w:rsidRPr="0038608B" w:rsidRDefault="00573186" w:rsidP="0038608B">
      <w:pPr>
        <w:numPr>
          <w:ilvl w:val="0"/>
          <w:numId w:val="1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установление добрососедских отношений с непосредственными соседями</w:t>
      </w:r>
    </w:p>
    <w:p w:rsidR="00AB7611" w:rsidRPr="0038608B" w:rsidRDefault="00AB761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Кроме того, гарантируя, что расширение ЕС не подорвет экономические и социальные достижения, во время переговоров со странами-кандидатами страны-члены Европейского Союза настаивали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10"/>
      </w:r>
      <w:r w:rsidRPr="0038608B">
        <w:rPr>
          <w:rStyle w:val="a8"/>
          <w:color w:val="000000"/>
          <w:sz w:val="28"/>
          <w:szCs w:val="28"/>
          <w:vertAlign w:val="baseline"/>
        </w:rPr>
        <w:t xml:space="preserve"> </w:t>
      </w:r>
      <w:r w:rsidRPr="0038608B">
        <w:rPr>
          <w:color w:val="000000"/>
          <w:sz w:val="28"/>
          <w:szCs w:val="28"/>
        </w:rPr>
        <w:t>на:</w:t>
      </w:r>
    </w:p>
    <w:p w:rsidR="00AB7611" w:rsidRPr="0038608B" w:rsidRDefault="00AB7611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улучшении экономического и сельскохозяйственного сектора;</w:t>
      </w:r>
    </w:p>
    <w:p w:rsidR="00AB7611" w:rsidRPr="0038608B" w:rsidRDefault="0093417A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реформировании судебной системы и борьбе с коррупцией;</w:t>
      </w:r>
    </w:p>
    <w:p w:rsidR="0093417A" w:rsidRPr="0038608B" w:rsidRDefault="0093417A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принятии законов о безвредности пищевых продуктов;</w:t>
      </w:r>
    </w:p>
    <w:p w:rsidR="0093417A" w:rsidRPr="0038608B" w:rsidRDefault="0093417A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противостоянии организованной преступности, экономическим и финансовым преступлениям, торговле наркотиками и прочими запрещенными товарами;</w:t>
      </w:r>
    </w:p>
    <w:p w:rsidR="0093417A" w:rsidRPr="0038608B" w:rsidRDefault="0093417A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поддержании прав меньшинств;</w:t>
      </w:r>
    </w:p>
    <w:p w:rsidR="0093417A" w:rsidRPr="0038608B" w:rsidRDefault="0093417A" w:rsidP="0038608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улучшении и защите окружающей среды, в частности в плане организации сбора и удаления отходов</w:t>
      </w:r>
      <w:r w:rsidR="00364E22" w:rsidRPr="0038608B">
        <w:rPr>
          <w:color w:val="000000"/>
          <w:sz w:val="28"/>
          <w:szCs w:val="28"/>
        </w:rPr>
        <w:t xml:space="preserve"> и безопасности от атомных электростанций.</w:t>
      </w:r>
    </w:p>
    <w:p w:rsidR="00B26C31" w:rsidRPr="0038608B" w:rsidRDefault="00B26C3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Увеличение численного состава еврозоны за счет присоединения новых стран нередко вызывает серьезные проблемы для ЕС:</w:t>
      </w:r>
    </w:p>
    <w:p w:rsidR="00B26C31" w:rsidRPr="0038608B" w:rsidRDefault="00B26C31" w:rsidP="0038608B">
      <w:pPr>
        <w:numPr>
          <w:ilvl w:val="0"/>
          <w:numId w:val="2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неспособность стран-претендентов уложиться в рамки критериев Экономического и Валютного Союза ЕС и перехода к единой валюте – евро;</w:t>
      </w:r>
    </w:p>
    <w:p w:rsidR="00B26C31" w:rsidRPr="0038608B" w:rsidRDefault="00B26C31" w:rsidP="0038608B">
      <w:pPr>
        <w:numPr>
          <w:ilvl w:val="0"/>
          <w:numId w:val="2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возникновение в ЕС новых претендентов на получение аграрных и структурных субсидий из бюджета ЕС;</w:t>
      </w:r>
    </w:p>
    <w:p w:rsidR="00B26C31" w:rsidRPr="0038608B" w:rsidRDefault="00B26C31" w:rsidP="0038608B">
      <w:pPr>
        <w:numPr>
          <w:ilvl w:val="0"/>
          <w:numId w:val="2"/>
        </w:numPr>
        <w:tabs>
          <w:tab w:val="clear" w:pos="1080"/>
          <w:tab w:val="num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необходимость крупных финансовых затрат на трансформацию внутриэкономических показателей и помощи новым странам-членам ЕС.</w:t>
      </w:r>
    </w:p>
    <w:p w:rsidR="00074659" w:rsidRDefault="006152E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Таким образом, расширение Европейского Союза является одним из главных направлений в его развитии, имеющее как положительные стороны, так и отрицательные. Несмотря на тяжелые для исполнения критерии, вступление в Евросоюз новых стран все же происходит, так как преимуществ больше, пусть даже часть из них рассматриваются только в долгосрочной перспективе.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C31" w:rsidRPr="00074659" w:rsidRDefault="00C63B7B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74659">
        <w:rPr>
          <w:b/>
          <w:bCs/>
          <w:color w:val="000000"/>
          <w:sz w:val="28"/>
          <w:szCs w:val="28"/>
        </w:rPr>
        <w:t>1.2</w:t>
      </w:r>
      <w:r w:rsidR="00B26C31" w:rsidRPr="00074659">
        <w:rPr>
          <w:b/>
          <w:bCs/>
          <w:color w:val="000000"/>
          <w:sz w:val="28"/>
          <w:szCs w:val="28"/>
        </w:rPr>
        <w:t xml:space="preserve"> Требования для вступления в зону действия Шенгенского Соглашения и зону действия евро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2CC3" w:rsidRPr="0038608B" w:rsidRDefault="00562CC3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Вступление в Европейский Союз означ</w:t>
      </w:r>
      <w:r w:rsidR="002B3D4D" w:rsidRPr="0038608B">
        <w:rPr>
          <w:color w:val="000000"/>
          <w:sz w:val="28"/>
          <w:szCs w:val="28"/>
        </w:rPr>
        <w:t xml:space="preserve">ает кроме всего прочего </w:t>
      </w:r>
      <w:r w:rsidR="00B26C31" w:rsidRPr="0038608B">
        <w:rPr>
          <w:color w:val="000000"/>
          <w:sz w:val="28"/>
          <w:szCs w:val="28"/>
        </w:rPr>
        <w:t>возможность вхождения</w:t>
      </w:r>
      <w:r w:rsidRPr="0038608B">
        <w:rPr>
          <w:color w:val="000000"/>
          <w:sz w:val="28"/>
          <w:szCs w:val="28"/>
        </w:rPr>
        <w:t xml:space="preserve"> в </w:t>
      </w:r>
      <w:r w:rsidR="002B3D4D" w:rsidRPr="0038608B">
        <w:rPr>
          <w:color w:val="000000"/>
          <w:sz w:val="28"/>
          <w:szCs w:val="28"/>
        </w:rPr>
        <w:t>зону евро</w:t>
      </w:r>
      <w:r w:rsidRPr="0038608B">
        <w:rPr>
          <w:color w:val="000000"/>
          <w:sz w:val="28"/>
          <w:szCs w:val="28"/>
        </w:rPr>
        <w:t xml:space="preserve">. </w:t>
      </w:r>
      <w:r w:rsidR="006502EA" w:rsidRPr="0038608B">
        <w:rPr>
          <w:color w:val="000000"/>
          <w:sz w:val="28"/>
          <w:szCs w:val="28"/>
        </w:rPr>
        <w:t>Для того чтобы ввести евро, в государстве долж</w:t>
      </w:r>
      <w:r w:rsidR="007B3985" w:rsidRPr="0038608B">
        <w:rPr>
          <w:color w:val="000000"/>
          <w:sz w:val="28"/>
          <w:szCs w:val="28"/>
        </w:rPr>
        <w:t>ен</w:t>
      </w:r>
      <w:r w:rsidR="006502EA" w:rsidRPr="0038608B">
        <w:rPr>
          <w:color w:val="000000"/>
          <w:sz w:val="28"/>
          <w:szCs w:val="28"/>
        </w:rPr>
        <w:t xml:space="preserve"> нормально функционировать </w:t>
      </w:r>
      <w:r w:rsidR="007B3985" w:rsidRPr="0038608B">
        <w:rPr>
          <w:color w:val="000000"/>
          <w:sz w:val="28"/>
          <w:szCs w:val="28"/>
        </w:rPr>
        <w:t xml:space="preserve">механизм совместного регулирования колебаний валютных курсов </w:t>
      </w:r>
      <w:r w:rsidR="006502EA" w:rsidRPr="0038608B">
        <w:rPr>
          <w:color w:val="000000"/>
          <w:sz w:val="28"/>
          <w:szCs w:val="28"/>
        </w:rPr>
        <w:t>(</w:t>
      </w:r>
      <w:r w:rsidR="006502EA" w:rsidRPr="0038608B">
        <w:rPr>
          <w:color w:val="000000"/>
          <w:sz w:val="28"/>
          <w:szCs w:val="28"/>
          <w:lang w:val="en-US"/>
        </w:rPr>
        <w:t>ERM</w:t>
      </w:r>
      <w:r w:rsidR="006502EA" w:rsidRPr="0038608B">
        <w:rPr>
          <w:color w:val="000000"/>
          <w:sz w:val="28"/>
          <w:szCs w:val="28"/>
        </w:rPr>
        <w:t>-</w:t>
      </w:r>
      <w:r w:rsidR="006502EA" w:rsidRPr="0038608B">
        <w:rPr>
          <w:color w:val="000000"/>
          <w:sz w:val="28"/>
          <w:szCs w:val="28"/>
          <w:lang w:val="en-US"/>
        </w:rPr>
        <w:t>II</w:t>
      </w:r>
      <w:r w:rsidR="006502EA" w:rsidRPr="0038608B">
        <w:rPr>
          <w:color w:val="000000"/>
          <w:sz w:val="28"/>
          <w:szCs w:val="28"/>
        </w:rPr>
        <w:t>) как минимум два года и при этом не должна происходить девальв</w:t>
      </w:r>
      <w:r w:rsidR="00C27A36" w:rsidRPr="0038608B">
        <w:rPr>
          <w:color w:val="000000"/>
          <w:sz w:val="28"/>
          <w:szCs w:val="28"/>
        </w:rPr>
        <w:t>ация валюты. Также для вхождения</w:t>
      </w:r>
      <w:r w:rsidR="006502EA" w:rsidRPr="0038608B">
        <w:rPr>
          <w:color w:val="000000"/>
          <w:sz w:val="28"/>
          <w:szCs w:val="28"/>
        </w:rPr>
        <w:t xml:space="preserve"> в зону евро</w:t>
      </w:r>
      <w:r w:rsidR="00C27A36" w:rsidRPr="0038608B">
        <w:rPr>
          <w:color w:val="000000"/>
          <w:sz w:val="28"/>
          <w:szCs w:val="28"/>
        </w:rPr>
        <w:t xml:space="preserve"> государству-кандидату</w:t>
      </w:r>
      <w:r w:rsidR="006502EA" w:rsidRPr="0038608B">
        <w:rPr>
          <w:color w:val="000000"/>
          <w:sz w:val="28"/>
          <w:szCs w:val="28"/>
        </w:rPr>
        <w:t xml:space="preserve"> необходимо удовлетворять следующим четырем критериям:</w:t>
      </w:r>
    </w:p>
    <w:p w:rsidR="006502EA" w:rsidRPr="0038608B" w:rsidRDefault="00762758" w:rsidP="0038608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средний уровень годовой инфляции не должен превышать 1,5% от усредненного уровня инфляции трех стран зоны евро с наиболее низкими ее темпами</w:t>
      </w:r>
      <w:r w:rsidR="006A289B" w:rsidRPr="0038608B">
        <w:rPr>
          <w:color w:val="000000"/>
          <w:sz w:val="28"/>
          <w:szCs w:val="28"/>
        </w:rPr>
        <w:t>;</w:t>
      </w:r>
    </w:p>
    <w:p w:rsidR="006A289B" w:rsidRPr="0038608B" w:rsidRDefault="00762758" w:rsidP="0038608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среднегодовой уровень долгосрочных процентных ставок не может превышать их уровень в трех странах с наиболее низкими темпами инфляции более чем на 2 процентных пункта</w:t>
      </w:r>
      <w:r w:rsidR="006811A7" w:rsidRPr="0038608B">
        <w:rPr>
          <w:color w:val="000000"/>
          <w:sz w:val="28"/>
          <w:szCs w:val="28"/>
        </w:rPr>
        <w:t>;</w:t>
      </w:r>
    </w:p>
    <w:p w:rsidR="006811A7" w:rsidRPr="0038608B" w:rsidRDefault="006811A7" w:rsidP="0038608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годовой бюджетный дефицит, не превышающий 3% от ВВП</w:t>
      </w:r>
      <w:r w:rsidR="00D4163D" w:rsidRPr="0038608B">
        <w:rPr>
          <w:color w:val="000000"/>
          <w:sz w:val="28"/>
          <w:szCs w:val="28"/>
        </w:rPr>
        <w:t xml:space="preserve"> (см.: приложение №3)</w:t>
      </w:r>
      <w:r w:rsidRPr="0038608B">
        <w:rPr>
          <w:color w:val="000000"/>
          <w:sz w:val="28"/>
          <w:szCs w:val="28"/>
        </w:rPr>
        <w:t>, и общий государственный долг, не превышающий 60% от ВВП или который постоянно уменьшается</w:t>
      </w:r>
      <w:r w:rsidR="00D4163D" w:rsidRPr="0038608B">
        <w:rPr>
          <w:color w:val="000000"/>
          <w:sz w:val="28"/>
          <w:szCs w:val="28"/>
        </w:rPr>
        <w:t xml:space="preserve"> (см.: приложение №4)</w:t>
      </w:r>
      <w:r w:rsidRPr="0038608B">
        <w:rPr>
          <w:color w:val="000000"/>
          <w:sz w:val="28"/>
          <w:szCs w:val="28"/>
        </w:rPr>
        <w:t>;</w:t>
      </w:r>
    </w:p>
    <w:p w:rsidR="006811A7" w:rsidRPr="0038608B" w:rsidRDefault="006811A7" w:rsidP="0038608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стабильный валютный курс национальной валюты на валютных рынках. Эта стабильность должна проявляться и длиться на протяжении двух лет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11"/>
      </w:r>
      <w:r w:rsidRPr="0038608B">
        <w:rPr>
          <w:color w:val="000000"/>
          <w:sz w:val="28"/>
          <w:szCs w:val="28"/>
        </w:rPr>
        <w:t>.</w:t>
      </w:r>
    </w:p>
    <w:p w:rsidR="00107B3F" w:rsidRPr="0038608B" w:rsidRDefault="00107B3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целом процесс введения единой европейской валюты странами-кандидатами со</w:t>
      </w:r>
      <w:r w:rsidR="00AC624E" w:rsidRPr="0038608B">
        <w:rPr>
          <w:color w:val="000000"/>
          <w:sz w:val="28"/>
          <w:szCs w:val="28"/>
        </w:rPr>
        <w:t>стоит</w:t>
      </w:r>
      <w:r w:rsidRPr="0038608B">
        <w:rPr>
          <w:color w:val="000000"/>
          <w:sz w:val="28"/>
          <w:szCs w:val="28"/>
        </w:rPr>
        <w:t xml:space="preserve"> из трех этапов:</w:t>
      </w:r>
    </w:p>
    <w:p w:rsidR="00107B3F" w:rsidRPr="0038608B" w:rsidRDefault="00107B3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1. Приведение в соответствие национального законодательства с единым законодательством ЕС, создающим юридическую базу для присоединения к </w:t>
      </w:r>
      <w:r w:rsidR="00AC624E" w:rsidRPr="0038608B">
        <w:rPr>
          <w:color w:val="000000"/>
          <w:sz w:val="28"/>
          <w:szCs w:val="28"/>
        </w:rPr>
        <w:t>Экономическому и валютном</w:t>
      </w:r>
      <w:r w:rsidR="003F1B9C" w:rsidRPr="0038608B">
        <w:rPr>
          <w:color w:val="000000"/>
          <w:sz w:val="28"/>
          <w:szCs w:val="28"/>
        </w:rPr>
        <w:t>у союзу</w:t>
      </w:r>
      <w:r w:rsidR="00AC624E" w:rsidRPr="0038608B">
        <w:rPr>
          <w:color w:val="000000"/>
          <w:sz w:val="28"/>
          <w:szCs w:val="28"/>
        </w:rPr>
        <w:t xml:space="preserve"> </w:t>
      </w:r>
      <w:r w:rsidR="003F1B9C" w:rsidRPr="0038608B">
        <w:rPr>
          <w:color w:val="000000"/>
          <w:sz w:val="28"/>
          <w:szCs w:val="28"/>
        </w:rPr>
        <w:t>(</w:t>
      </w:r>
      <w:r w:rsidRPr="0038608B">
        <w:rPr>
          <w:color w:val="000000"/>
          <w:sz w:val="28"/>
          <w:szCs w:val="28"/>
        </w:rPr>
        <w:t>ЭВС</w:t>
      </w:r>
      <w:r w:rsidR="003F1B9C" w:rsidRPr="0038608B">
        <w:rPr>
          <w:color w:val="000000"/>
          <w:sz w:val="28"/>
          <w:szCs w:val="28"/>
        </w:rPr>
        <w:t>)</w:t>
      </w:r>
      <w:r w:rsidRPr="0038608B">
        <w:rPr>
          <w:color w:val="000000"/>
          <w:sz w:val="28"/>
          <w:szCs w:val="28"/>
        </w:rPr>
        <w:t>, что должно быть сделано в основном до момента вхождения в ЕС. Это касается прежде всего:</w:t>
      </w:r>
    </w:p>
    <w:p w:rsidR="00107B3F" w:rsidRPr="0038608B" w:rsidRDefault="00107B3F" w:rsidP="003860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законодательства о деятельности центральных банков: полная независимость ЦБ (институциональная, персональная и финансовая) в соответствии с Договором о создании и Уставом Европейской системы центральных банков, в том числе запрет какого-либо участия в финансировании государственного сектора; обеспечение стабильности внутренних цен должно стать основной целью ЦБ и др. После вступления в ЕС ЦБ новых стран-членов должны будут внести соответствующие изменения в свои уставы для обеспечения выполнения в будущем функций членов Евросистемы (центральные банки стран зоны евро и ЕЦБ), объединенных задачами проведения единой денежно-кредитной политики;</w:t>
      </w:r>
    </w:p>
    <w:p w:rsidR="00107B3F" w:rsidRPr="0038608B" w:rsidRDefault="00107B3F" w:rsidP="0038608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законодательства, обеспечивающего либерализацию движения капитала (до вступления в ЕС);</w:t>
      </w:r>
    </w:p>
    <w:p w:rsidR="00107B3F" w:rsidRPr="0038608B" w:rsidRDefault="00107B3F" w:rsidP="0038608B">
      <w:pPr>
        <w:numPr>
          <w:ilvl w:val="0"/>
          <w:numId w:val="9"/>
        </w:numPr>
        <w:tabs>
          <w:tab w:val="clear" w:pos="1800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создания условий для функционирования устойчивой банковской системы и финансовой стабильности: выполнение директив ЕС в банковской и финансовой сферах (до вступления в ЕС).</w:t>
      </w:r>
    </w:p>
    <w:p w:rsidR="00074659" w:rsidRDefault="00107B3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 Одновременно с вхождением в ЕС новые члены вступают и в ЭВС (но не в зону евро) со статусом неполного членства с обязательством последующего введения единой валюты. ЦБ новых стран-членов присоединяются к Европейской системе центральных банков и становятся членами Общего совета ЕЦБ, объединяющего председателей ЦБ всех стран ЕС, в том числе не входящих в зону евро. На данном этапе новые члены ЕС должны будут присоединиться к системе регулирования валютных курсов ERM-II и участвовать в механизме координации и коллективного контроля за проведением национальной экономиче</w:t>
      </w:r>
      <w:r w:rsidR="002B3D4D" w:rsidRPr="0038608B">
        <w:rPr>
          <w:color w:val="000000"/>
          <w:sz w:val="28"/>
          <w:szCs w:val="28"/>
        </w:rPr>
        <w:t>ской политики в соответствии с о</w:t>
      </w:r>
      <w:r w:rsidRPr="0038608B">
        <w:rPr>
          <w:color w:val="000000"/>
          <w:sz w:val="28"/>
          <w:szCs w:val="28"/>
        </w:rPr>
        <w:t xml:space="preserve">сновными ориентирами в этой области, принимаемыми на </w:t>
      </w:r>
      <w:r w:rsidR="003F1B9C" w:rsidRPr="0038608B">
        <w:rPr>
          <w:color w:val="000000"/>
          <w:sz w:val="28"/>
          <w:szCs w:val="28"/>
        </w:rPr>
        <w:t>«</w:t>
      </w:r>
      <w:r w:rsidRPr="0038608B">
        <w:rPr>
          <w:color w:val="000000"/>
          <w:sz w:val="28"/>
          <w:szCs w:val="28"/>
        </w:rPr>
        <w:t>есовском уровне</w:t>
      </w:r>
      <w:r w:rsidR="003F1B9C" w:rsidRPr="0038608B">
        <w:rPr>
          <w:color w:val="000000"/>
          <w:sz w:val="28"/>
          <w:szCs w:val="28"/>
        </w:rPr>
        <w:t>»</w:t>
      </w:r>
      <w:r w:rsidR="003F1B9C" w:rsidRPr="0038608B">
        <w:rPr>
          <w:rStyle w:val="a8"/>
          <w:color w:val="000000"/>
          <w:sz w:val="28"/>
          <w:szCs w:val="28"/>
          <w:vertAlign w:val="baseline"/>
        </w:rPr>
        <w:footnoteReference w:id="12"/>
      </w:r>
      <w:r w:rsidRPr="0038608B">
        <w:rPr>
          <w:color w:val="000000"/>
          <w:sz w:val="28"/>
          <w:szCs w:val="28"/>
        </w:rPr>
        <w:t>. Новые члены ЕС представят программы экономического сближения, выполнение которых будет подвергаться ежегодному рассмотрению на заседаниях Совета министров экономики и финансов (ЭКОФИН).</w:t>
      </w:r>
    </w:p>
    <w:p w:rsidR="00107B3F" w:rsidRPr="0038608B" w:rsidRDefault="00107B3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3. Полное членство в ЭВС и введение евро. Выполнение на устойчивой основе критериев Маастрихт</w:t>
      </w:r>
      <w:r w:rsidR="002B3D4D" w:rsidRPr="0038608B">
        <w:rPr>
          <w:color w:val="000000"/>
          <w:sz w:val="28"/>
          <w:szCs w:val="28"/>
        </w:rPr>
        <w:t>ского договора</w:t>
      </w:r>
      <w:r w:rsidRPr="0038608B">
        <w:rPr>
          <w:color w:val="000000"/>
          <w:sz w:val="28"/>
          <w:szCs w:val="28"/>
        </w:rPr>
        <w:t xml:space="preserve"> при условии реализации других требований, прежде всего правового и институционального порядка (по обеспечению проведения единой денежно-кредитной политики), достижения экономического сближения со странами зоны евро, проведения сбалансированной бюджетной политики в соответствии с Пактом стабильности и роста будет служить основанием для коллективного принятия решения о вхождении в зону евро.</w:t>
      </w:r>
    </w:p>
    <w:p w:rsidR="0038608B" w:rsidRDefault="002B3D4D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Несмотря на достаточно долгий и кропотливый процесс вхождения в зону евро, практически все государства пытаются это сделать, так как введение евро несет для государства определенные экономические выгоды.</w:t>
      </w:r>
      <w:r w:rsidR="00121BC8" w:rsidRPr="0038608B">
        <w:rPr>
          <w:color w:val="000000"/>
          <w:sz w:val="28"/>
          <w:szCs w:val="28"/>
        </w:rPr>
        <w:t xml:space="preserve"> Евро используется не только в самом ЕС, но и в странах не входящих в него. Поэтому Евросоюз, а следовательно, и все страны входящие в него и имеющие евро как национальную валюту, получают политические и экономические преимущества, располагая сильной международной валютой. В политическом отношении ЕС (а вместе с ним и все входящие в него страны) обретает международный престиж, и его глобальное влияние возрастает. Экономические выгоды включают более низкие транзакционные издержки и процентные ставки и более высокую прибыльность финансовых учреждений, обусловленные возросшей экономической активностью и эффективностью внутренних рынков капитала; возможность финансирования дефицита по счету текущих операций собственной валютой Союза, что устраняет необходимость наращивания резервов в иностранной валюте; и эмиссионный доход благодаря выпуску Европейским Союзом беспроцентных требований к самому себе в обмен на товары и услуги</w:t>
      </w:r>
      <w:r w:rsidR="00121BC8" w:rsidRPr="0038608B">
        <w:rPr>
          <w:rStyle w:val="a8"/>
          <w:color w:val="000000"/>
          <w:sz w:val="28"/>
          <w:szCs w:val="28"/>
          <w:vertAlign w:val="baseline"/>
        </w:rPr>
        <w:footnoteReference w:id="13"/>
      </w:r>
      <w:r w:rsidR="00121BC8" w:rsidRPr="0038608B">
        <w:rPr>
          <w:color w:val="000000"/>
          <w:sz w:val="28"/>
          <w:szCs w:val="28"/>
        </w:rPr>
        <w:t>.</w:t>
      </w:r>
    </w:p>
    <w:p w:rsidR="00121BC8" w:rsidRPr="0038608B" w:rsidRDefault="00121BC8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Однако превращение валюты в международную также влечет за собой риски и ответственность. Хотя важное значение имеет проведение правильной макроэкономической политики для сохранения стабильности цен и обменного курса, Евросоюз становится более уязвимым перед колебаниями потоков капитала, которые могут порождать финансовую и макроэкономическую нестабильность и ограничивать выбор возможных мер политики. В то же время определение денежно-кредитного целевого показателя становится более трудной задачей, так как часть валюты находится за границей, что осложняет проведение денежно-кредитной политики.</w:t>
      </w:r>
    </w:p>
    <w:p w:rsidR="00562CC3" w:rsidRPr="0038608B" w:rsidRDefault="00B26C3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На территории Европейского Союза</w:t>
      </w:r>
      <w:r w:rsidR="00C472E6" w:rsidRPr="0038608B">
        <w:rPr>
          <w:color w:val="000000"/>
          <w:sz w:val="28"/>
          <w:szCs w:val="28"/>
        </w:rPr>
        <w:t xml:space="preserve"> действует также Шенгенское соглашение.</w:t>
      </w:r>
      <w:r w:rsidR="0038608B">
        <w:rPr>
          <w:color w:val="000000"/>
          <w:sz w:val="28"/>
          <w:szCs w:val="28"/>
        </w:rPr>
        <w:t xml:space="preserve"> </w:t>
      </w:r>
      <w:r w:rsidR="00C472E6" w:rsidRPr="0038608B">
        <w:rPr>
          <w:color w:val="000000"/>
          <w:sz w:val="28"/>
          <w:szCs w:val="28"/>
        </w:rPr>
        <w:t>Это соглашение, подписанное в 1985 году,</w:t>
      </w:r>
      <w:r w:rsidR="0038608B">
        <w:rPr>
          <w:color w:val="000000"/>
          <w:sz w:val="28"/>
          <w:szCs w:val="28"/>
        </w:rPr>
        <w:t xml:space="preserve"> </w:t>
      </w:r>
      <w:r w:rsidR="00C472E6" w:rsidRPr="0038608B">
        <w:rPr>
          <w:color w:val="000000"/>
          <w:sz w:val="28"/>
          <w:szCs w:val="28"/>
        </w:rPr>
        <w:t>позволяет ликвидировать систему контроля границ между странами-подписантами. Оно включает в себя обеспечение координацией контроля внешних границ и сотрудничество с полицией соседних государств.</w:t>
      </w:r>
    </w:p>
    <w:p w:rsidR="008B2D97" w:rsidRPr="0038608B" w:rsidRDefault="008B2D9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Каждая новая страна перед окончательным подписанием Шенгенского соглашения</w:t>
      </w:r>
      <w:r w:rsidR="00B77D1D" w:rsidRPr="0038608B">
        <w:rPr>
          <w:color w:val="000000"/>
          <w:sz w:val="28"/>
          <w:szCs w:val="28"/>
        </w:rPr>
        <w:t xml:space="preserve"> должна иметь «подготовленными четыре сферы»</w:t>
      </w:r>
      <w:r w:rsidR="00B77D1D" w:rsidRPr="0038608B">
        <w:rPr>
          <w:rStyle w:val="a8"/>
          <w:color w:val="000000"/>
          <w:sz w:val="28"/>
          <w:szCs w:val="28"/>
          <w:vertAlign w:val="baseline"/>
        </w:rPr>
        <w:footnoteReference w:id="14"/>
      </w:r>
      <w:r w:rsidR="00B77D1D" w:rsidRPr="0038608B">
        <w:rPr>
          <w:color w:val="000000"/>
          <w:sz w:val="28"/>
          <w:szCs w:val="28"/>
        </w:rPr>
        <w:t>:</w:t>
      </w:r>
    </w:p>
    <w:p w:rsidR="00B77D1D" w:rsidRPr="0038608B" w:rsidRDefault="00B77D1D" w:rsidP="0038608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воздушные границы;</w:t>
      </w:r>
    </w:p>
    <w:p w:rsidR="00B77D1D" w:rsidRPr="0038608B" w:rsidRDefault="00B77D1D" w:rsidP="0038608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сотрудничающую полицию;</w:t>
      </w:r>
    </w:p>
    <w:p w:rsidR="00B77D1D" w:rsidRPr="0038608B" w:rsidRDefault="00B77D1D" w:rsidP="0038608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визовый режим;</w:t>
      </w:r>
    </w:p>
    <w:p w:rsidR="004E3023" w:rsidRPr="0038608B" w:rsidRDefault="00B77D1D" w:rsidP="0038608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защиту личных данных.</w:t>
      </w:r>
    </w:p>
    <w:p w:rsidR="0038608B" w:rsidRDefault="00B77D1D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Процесс изучения степени готовности вступления страны в зону действия Шенгенского соглашения включает в себя визиты экспертов Европейского Союза </w:t>
      </w:r>
      <w:r w:rsidR="004E3023" w:rsidRPr="0038608B">
        <w:rPr>
          <w:color w:val="000000"/>
          <w:sz w:val="28"/>
          <w:szCs w:val="28"/>
        </w:rPr>
        <w:t>в определенные институты и производственные помещения страны-кандидата.</w:t>
      </w:r>
    </w:p>
    <w:p w:rsidR="0038608B" w:rsidRDefault="0009483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Вступление в зону действия Шенгенского </w:t>
      </w:r>
      <w:r w:rsidR="007C0E94" w:rsidRPr="0038608B">
        <w:rPr>
          <w:color w:val="000000"/>
          <w:sz w:val="28"/>
          <w:szCs w:val="28"/>
        </w:rPr>
        <w:t>соглашения,</w:t>
      </w:r>
      <w:r w:rsidRPr="0038608B">
        <w:rPr>
          <w:color w:val="000000"/>
          <w:sz w:val="28"/>
          <w:szCs w:val="28"/>
        </w:rPr>
        <w:t xml:space="preserve"> </w:t>
      </w:r>
      <w:r w:rsidR="007C0E94" w:rsidRPr="0038608B">
        <w:rPr>
          <w:color w:val="000000"/>
          <w:sz w:val="28"/>
          <w:szCs w:val="28"/>
        </w:rPr>
        <w:t>несомненно,</w:t>
      </w:r>
      <w:r w:rsidRPr="0038608B">
        <w:rPr>
          <w:color w:val="000000"/>
          <w:sz w:val="28"/>
          <w:szCs w:val="28"/>
        </w:rPr>
        <w:t xml:space="preserve"> имеет значительные преимущества.</w:t>
      </w:r>
      <w:r w:rsidR="007C0E94" w:rsidRPr="0038608B">
        <w:rPr>
          <w:color w:val="000000"/>
          <w:sz w:val="28"/>
          <w:szCs w:val="28"/>
        </w:rPr>
        <w:t xml:space="preserve"> Во-первых, увеличится туристический поток в страну, что вызовет за собой увеличение масштабов торговли и, как следствие, экономический рост. Во-вторых, открытие границ между государствами-членами ЕС и нововступившими странами означает для вторых полную интеграцию с первыми.</w:t>
      </w:r>
    </w:p>
    <w:p w:rsidR="00074659" w:rsidRDefault="00FA19F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Таким образом, вступление в зону действия евро и Шенгенского соглашения является составной частью Европейского Союза. И несмотря на то, что требования для вступающих тяжелы, все же оно несет очень ощутимые преимущества, в первую очередь в экономическом плане. А это крайне важно для стран Центральной и Восточной Европы.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377" w:rsidRPr="00074659" w:rsidRDefault="002F1377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074659" w:rsidRPr="00074659">
        <w:rPr>
          <w:b/>
          <w:bCs/>
          <w:color w:val="000000"/>
          <w:sz w:val="28"/>
          <w:szCs w:val="28"/>
        </w:rPr>
        <w:t>Г</w:t>
      </w:r>
      <w:r w:rsidR="00C00168" w:rsidRPr="00074659">
        <w:rPr>
          <w:b/>
          <w:bCs/>
          <w:color w:val="000000"/>
          <w:sz w:val="28"/>
          <w:szCs w:val="28"/>
        </w:rPr>
        <w:t>лава</w:t>
      </w:r>
      <w:r w:rsidR="00C63B7B" w:rsidRPr="00074659">
        <w:rPr>
          <w:b/>
          <w:bCs/>
          <w:color w:val="000000"/>
          <w:sz w:val="28"/>
          <w:szCs w:val="28"/>
        </w:rPr>
        <w:t xml:space="preserve"> 2</w:t>
      </w:r>
      <w:r w:rsidR="00C00168" w:rsidRPr="00074659">
        <w:rPr>
          <w:b/>
          <w:bCs/>
          <w:color w:val="000000"/>
          <w:sz w:val="28"/>
          <w:szCs w:val="28"/>
        </w:rPr>
        <w:t xml:space="preserve">. </w:t>
      </w:r>
      <w:r w:rsidRPr="00074659">
        <w:rPr>
          <w:b/>
          <w:bCs/>
          <w:color w:val="000000"/>
          <w:sz w:val="28"/>
          <w:szCs w:val="28"/>
        </w:rPr>
        <w:t>Действия стран Центральной и Восточной Европы и Европейского Союза на предвступительном этапе</w:t>
      </w:r>
    </w:p>
    <w:p w:rsidR="00074659" w:rsidRPr="00074659" w:rsidRDefault="00074659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Переориентация стран Центральной и Восточной Европы с ранее приоритетных политических и экономических отношений с Россией на страны Запада, прежде всего Европейский Союз, началась в конце 80-х годов. Этот сложный и неоднозначный процесс был вызван «в первую очередь окончанием эпохи холодной войны, крушением коммунистических идеалов и центральной роли Москвы как безусловного лидера этой части континента»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15"/>
      </w:r>
      <w:r w:rsidRPr="0038608B">
        <w:rPr>
          <w:color w:val="000000"/>
          <w:sz w:val="28"/>
          <w:szCs w:val="28"/>
        </w:rPr>
        <w:t>, переходом практически во всех государствах ЦВЕ к необходимым реформам в политической и экономической сферах. Его кульминацией стала подача 10 странами ЦВЕ официальных заявок на вступление в ЕС (см.</w:t>
      </w:r>
      <w:r w:rsidR="00E637A9" w:rsidRPr="0038608B">
        <w:rPr>
          <w:color w:val="000000"/>
          <w:sz w:val="28"/>
          <w:szCs w:val="28"/>
        </w:rPr>
        <w:t>:</w:t>
      </w:r>
      <w:r w:rsidRPr="0038608B">
        <w:rPr>
          <w:color w:val="000000"/>
          <w:sz w:val="28"/>
          <w:szCs w:val="28"/>
        </w:rPr>
        <w:t xml:space="preserve"> приложение 1). В основе желания этих государств вступить в Европейский Союз лежали политические мотивы и стремление к безопасности. Стать членом ЕС означало для стран ЦВЕ «вернуться в Европу и окончательно выйти из сферы влияния России»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16"/>
      </w:r>
      <w:r w:rsidRPr="0038608B">
        <w:rPr>
          <w:color w:val="000000"/>
          <w:sz w:val="28"/>
          <w:szCs w:val="28"/>
        </w:rPr>
        <w:t>. Экономические же причины являются второстепенными.</w:t>
      </w:r>
    </w:p>
    <w:p w:rsid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У Евросоюза в отношении стран-кандидатов наблюдалась определенная двойственность – с одной стороны, стремление быстро и эффективно «подтянуть»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17"/>
      </w:r>
      <w:r w:rsidRPr="0038608B">
        <w:rPr>
          <w:color w:val="000000"/>
          <w:sz w:val="28"/>
          <w:szCs w:val="28"/>
        </w:rPr>
        <w:t xml:space="preserve"> их до уровня самого Союза, даже путем определенных уступок, но – с другой стороны – такое отношение имело достаточно четкие пределы.</w:t>
      </w:r>
    </w:p>
    <w:p w:rsid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После ряда компромиссов, достигнутых на саммитах в Копенгагене, Брюсселе, на о.Корфу и в Эссене, руководство ЕС в целом выступило за одновременное начало переговоров со всеми кандидатами. Эта позиция получила название модели «единого старта» переговоров (</w:t>
      </w:r>
      <w:r w:rsidRPr="0038608B">
        <w:rPr>
          <w:color w:val="000000"/>
          <w:sz w:val="28"/>
          <w:szCs w:val="28"/>
          <w:lang w:val="en-US"/>
        </w:rPr>
        <w:t>starting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line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model</w:t>
      </w:r>
      <w:r w:rsidRPr="0038608B">
        <w:rPr>
          <w:color w:val="000000"/>
          <w:sz w:val="28"/>
          <w:szCs w:val="28"/>
        </w:rPr>
        <w:t>). Тем не менее Еврокомиссии удалось настоять (при поддержке Франции, Германии, Австрии) на разбивке претендентов на группы (</w:t>
      </w:r>
      <w:r w:rsidRPr="0038608B">
        <w:rPr>
          <w:color w:val="000000"/>
          <w:sz w:val="28"/>
          <w:szCs w:val="28"/>
          <w:lang w:val="en-US"/>
        </w:rPr>
        <w:t>group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model</w:t>
      </w:r>
      <w:r w:rsidRPr="0038608B">
        <w:rPr>
          <w:color w:val="000000"/>
          <w:sz w:val="28"/>
          <w:szCs w:val="28"/>
        </w:rPr>
        <w:t>) в зависимости от их готовности к принятию обязательств Европейского Союза.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Следующим шагом по выработке формулы отношений со странами-кандидатами стала компромиссная модель (</w:t>
      </w:r>
      <w:r w:rsidRPr="0038608B">
        <w:rPr>
          <w:color w:val="000000"/>
          <w:sz w:val="28"/>
          <w:szCs w:val="28"/>
          <w:lang w:val="en-US"/>
        </w:rPr>
        <w:t>stadium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model</w:t>
      </w:r>
      <w:r w:rsidRPr="0038608B">
        <w:rPr>
          <w:color w:val="000000"/>
          <w:sz w:val="28"/>
          <w:szCs w:val="28"/>
        </w:rPr>
        <w:t xml:space="preserve"> или </w:t>
      </w:r>
      <w:r w:rsidRPr="0038608B">
        <w:rPr>
          <w:color w:val="000000"/>
          <w:sz w:val="28"/>
          <w:szCs w:val="28"/>
          <w:lang w:val="en-US"/>
        </w:rPr>
        <w:t>process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model</w:t>
      </w:r>
      <w:r w:rsidRPr="0038608B">
        <w:rPr>
          <w:color w:val="000000"/>
          <w:sz w:val="28"/>
          <w:szCs w:val="28"/>
        </w:rPr>
        <w:t>), выдвинутая министром иностранных дел ФРГ К.Кинкелем. Согласно этому предложению, страны, не вошедшие в первую группу претендентов, выполнив необходимые условия, смогут присоединиться к переговорам и перейдут в новую группу. Основанное на идее Кинкеля постановление было принято на саммите ЕС в Люксембурге в 1997 году</w:t>
      </w:r>
      <w:r w:rsidR="00F268A9" w:rsidRPr="0038608B">
        <w:rPr>
          <w:rStyle w:val="a8"/>
          <w:color w:val="000000"/>
          <w:sz w:val="28"/>
          <w:szCs w:val="28"/>
          <w:vertAlign w:val="baseline"/>
        </w:rPr>
        <w:footnoteReference w:id="18"/>
      </w:r>
      <w:r w:rsidRPr="0038608B">
        <w:rPr>
          <w:color w:val="000000"/>
          <w:sz w:val="28"/>
          <w:szCs w:val="28"/>
        </w:rPr>
        <w:t>. Было объявлено о том, что процесс расширения охватит все страны-кандидаты, но вступать в Союз они будут на индивидуальной основе, по мере достижения требуемой степени готовности.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июне 1997 года Комиссия ЕС приняла «Повестку дня 2000 года»</w:t>
      </w:r>
      <w:r w:rsidR="00F268A9" w:rsidRPr="0038608B">
        <w:rPr>
          <w:rStyle w:val="a8"/>
          <w:color w:val="000000"/>
          <w:sz w:val="28"/>
          <w:szCs w:val="28"/>
          <w:vertAlign w:val="baseline"/>
        </w:rPr>
        <w:footnoteReference w:id="19"/>
      </w:r>
      <w:r w:rsidRPr="0038608B">
        <w:rPr>
          <w:color w:val="000000"/>
          <w:sz w:val="28"/>
          <w:szCs w:val="28"/>
        </w:rPr>
        <w:t xml:space="preserve"> - программу предстоящего расширения Европейского Союза. В этом документе определены шесть стран, с которыми ЕС планировал начать переговоры уже в 1998 году: Польша, Венгрия, Чехия, Кипр, Эстония. Данная программа была основана на следующих принципах:</w:t>
      </w:r>
    </w:p>
    <w:p w:rsidR="002F1377" w:rsidRPr="0038608B" w:rsidRDefault="002F1377" w:rsidP="0038608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решения заседания Европейского Союза в Копенгагене в июне 1993 года. В них предусматривалось, что в ЕС могут быть приняты только полностью подготовившиеся к этому шагу страны, способные обеспечить стабильность государственных и общественных институтов, гарантии демократии, верховенство закона и соблюдение прав человека, включая защиту национальных меньшинств. Страны-кандидаты должны также обладать нормально функционирующей рыночной экономикой, выдержать конкуренцию внутри единого рынка ЕС и удовлетворять всем критериям членства, включая приверженность целям политического, экономического и валютного союза. В свою очередь, ЕС и сам должен быть полностью готов к такому расширению без ущерба для динамики интеграции и для интересов стран-членов и Союза в целом.</w:t>
      </w:r>
    </w:p>
    <w:p w:rsidR="002F1377" w:rsidRPr="0038608B" w:rsidRDefault="002F1377" w:rsidP="0038608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решения заседания Европейского Совета в Мадриде в декабре 1995 года. В них устанавливалось, что при присоединении к ЕС страны-кандидаты должны иметь развитую рыночную экономику, эффективное управление и стабильное финансово-экономическое положение. В критерии присоединение (при оценке финансовых последствий расширения для ЕС в данных областях) были введены дополнительные ограничения, а именно способность вступающих стран принять и осуществлять одобренную ЕС структурную и аграрную политику.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Однако особенности стран-претендентов не в полной мере учитывались Европейским Союзом, когда в официальных документах Комиссии ЕС «Повестка дня 2000г.» расширение европейской интеграции за счет стран Центральной и Восточной Европы рассматривалось как «еще одно присоединение группы стран к ЕС»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0"/>
      </w:r>
      <w:r w:rsidRPr="0038608B">
        <w:rPr>
          <w:color w:val="000000"/>
          <w:sz w:val="28"/>
          <w:szCs w:val="28"/>
        </w:rPr>
        <w:t>. Позже стало очевидно, что это должен быть принципиально новый вариант присоединения государств, обладающих специфическими чертами.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Впервые в истории ЕС из 10 присоединившихся к нему стран 8 ранее не развивались на основе западноевропейской социально-экономической модели и не принадлежали к западноевропейской системе безопасности. Эти государства осуществляли сложнейший переход от командно-административной экономики к рыночной, от тоталитаризма и авторитаризма к парламентской демократии и правовому государству.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Несмотря на достигнутые успехи постсоциалистических стран на путях реформирования, их отставание от развитых западных государств на предвступительном этапе не сократилось. Только в Польше и Словении темпы прироста ВВП в 90-е годы оказались достаточными для того, чтобы несколько уменьшить разрыв, существовавший между ними и «ЕС-15» по показателю среднедушевого ВВП. Лишь две страны из присоединившейся десятки – Кипр и Словения – имели показатель среднедушевого по ЕС ВВП. Однако совокупный ВВП присоединившихся стран составлял 4,6% от ВВП ЕС, что несколько больше, чем ВВП Бельгии, но меньше, чем ВВП Нидерландов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1"/>
      </w:r>
      <w:r w:rsidRPr="0038608B">
        <w:rPr>
          <w:color w:val="000000"/>
          <w:sz w:val="28"/>
          <w:szCs w:val="28"/>
        </w:rPr>
        <w:t>.</w:t>
      </w:r>
      <w:r w:rsidR="00E63AE4" w:rsidRPr="0038608B">
        <w:rPr>
          <w:color w:val="000000"/>
          <w:sz w:val="28"/>
          <w:szCs w:val="28"/>
        </w:rPr>
        <w:t xml:space="preserve"> Данная проблема была связана в первую очередь с тем, что для улучшения уровня ВВП странам ЦВЕ было дано слишком мало времени.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Необходимо также отметить, что в большинстве стран ЦВЕ на предвступительном этапе сохранялась высокая доля сельского хозяйства в производстве ВВП и высокая, в 3 раза превышающая аналогичные показатели по странам ЕС, доля занятых в этой сфере. В то же время сохранялась и высокая безработица в большинстве стран, что привело к росту проблем на пути реализации права свободного передвижения рабочей силы в рамках расширяющейся европейской интеграции.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Таким образом, специфика стран ЦВЕ показывает, что для вступления этих государств в ЕС были необходимы не только реформы внутри стран-кандидатов, но и значительные трансформации в самом Европейском союзе. Ведь институциональная структура, созданная Сообществом более 50 лет назад, когда в него входили всего шесть государств, функционировала с большим напряжением уже в системе ЕС-12 и ЕС-15. Принятие 10 новых членов в условиях нереформированности организации парализовало бы их работу. Не изменив рычагов управления, ЕС «загнал бы себя в институциональную ловушку»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2"/>
      </w:r>
      <w:r w:rsidRPr="0038608B">
        <w:rPr>
          <w:color w:val="000000"/>
          <w:sz w:val="28"/>
          <w:szCs w:val="28"/>
        </w:rPr>
        <w:t>, когда экономический потенциал стран и их роль в формировании бюджета не были бы увязаны с их возможностями влиять на принимаемые в организации решения (см. приложение 2). Нереформированность институтов ЕС и процедур принятия решений могла бы привести к ситуации, когда страны, совокупный ВВП которых составляет около 5% ВВП расширенного ЕС, могли получить более 31% голосов.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Проблема расширения ЕС и диктуемых им изменений внутри него стала предметом множества дискуссий в Западной Европе. Сложились три точки зрения на последствия расширения и институциональную реформу:</w:t>
      </w:r>
    </w:p>
    <w:p w:rsidR="002F1377" w:rsidRPr="0038608B" w:rsidRDefault="002F1377" w:rsidP="0038608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существующие институты были способны справиться с последствиями расширения и не нуждались ни в какой модификации;</w:t>
      </w:r>
    </w:p>
    <w:p w:rsidR="002F1377" w:rsidRPr="0038608B" w:rsidRDefault="002F1377" w:rsidP="0038608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имевшиеся институты не могли справиться с последствиями расширения. Возникшие проблемы должны были быть решены в рамках ЕС посредством институциональной реформы;</w:t>
      </w:r>
    </w:p>
    <w:p w:rsidR="002F1377" w:rsidRPr="0038608B" w:rsidRDefault="002F1377" w:rsidP="0038608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предлагалось, не разрушая существующую систему и сохранив ее недостатки, создать внутри нее «авангард»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3"/>
      </w:r>
      <w:r w:rsidRPr="0038608B">
        <w:rPr>
          <w:color w:val="000000"/>
          <w:sz w:val="28"/>
          <w:szCs w:val="28"/>
        </w:rPr>
        <w:t xml:space="preserve"> в составе тех стран, которые могут пойти по пути интеграции дальше, чем другие.</w:t>
      </w:r>
    </w:p>
    <w:p w:rsid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1 февраля 2003 года вступил в силу Договор о Европейском Союзе, принятый на саммите ЕС в Ницце (декабрь 2001 года). Этот договор предусматривает расширение сферы применения квалифицированного большинства при голосовании в Совете ЕС. Однако из-за сопротивления Великобритании и ряда других государств на саммите так и не удалось договориться о переходе к принципу квалифицированного большинства в таких серьезных вопросах, как налогообложение и социальное обеспечение.</w:t>
      </w:r>
    </w:p>
    <w:p w:rsidR="00AA7A46" w:rsidRPr="0038608B" w:rsidRDefault="00A97CC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Таким образом, не</w:t>
      </w:r>
      <w:r w:rsidR="00AA7A46" w:rsidRPr="0038608B">
        <w:rPr>
          <w:color w:val="000000"/>
          <w:sz w:val="28"/>
          <w:szCs w:val="28"/>
        </w:rPr>
        <w:t>смотря на различные сложности на предвступительном этапе</w:t>
      </w:r>
      <w:r w:rsidRPr="0038608B">
        <w:rPr>
          <w:color w:val="000000"/>
          <w:sz w:val="28"/>
          <w:szCs w:val="28"/>
        </w:rPr>
        <w:t>,</w:t>
      </w:r>
      <w:r w:rsidR="00AA7A46" w:rsidRPr="0038608B">
        <w:rPr>
          <w:color w:val="000000"/>
          <w:sz w:val="28"/>
          <w:szCs w:val="28"/>
        </w:rPr>
        <w:t xml:space="preserve"> странам Центральной и Восточной Европы удалось добиться </w:t>
      </w:r>
      <w:r w:rsidRPr="0038608B">
        <w:rPr>
          <w:color w:val="000000"/>
          <w:sz w:val="28"/>
          <w:szCs w:val="28"/>
        </w:rPr>
        <w:t>конкретных</w:t>
      </w:r>
      <w:r w:rsidR="00AA7A46" w:rsidRPr="0038608B">
        <w:rPr>
          <w:color w:val="000000"/>
          <w:sz w:val="28"/>
          <w:szCs w:val="28"/>
        </w:rPr>
        <w:t xml:space="preserve"> успехов</w:t>
      </w:r>
      <w:r w:rsidRPr="0038608B">
        <w:rPr>
          <w:color w:val="000000"/>
          <w:sz w:val="28"/>
          <w:szCs w:val="28"/>
        </w:rPr>
        <w:t>. Путем реформирования, введения новых законов, активного сотрудничества с представителями Европейского Союза страны ЦВЕ смогли осуществить «свое желание» и вступить в Евросоюз.</w:t>
      </w:r>
    </w:p>
    <w:p w:rsidR="00A97CC2" w:rsidRPr="0038608B" w:rsidRDefault="00A97CC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Со своей стороны, ЕС также пошел на определенные уступки, содействуя странам Центральной и Восточной Европы в подготовке к вступлению в ряды Европейского Союза. После многочисленных саммитов и встреч государства-члены ЕС, достигнув консенсуса по многим вопросам, смогли реформировать Евросоюз</w:t>
      </w:r>
      <w:r w:rsidR="00EC284E" w:rsidRPr="0038608B">
        <w:rPr>
          <w:color w:val="000000"/>
          <w:sz w:val="28"/>
          <w:szCs w:val="28"/>
        </w:rPr>
        <w:t xml:space="preserve"> в соответствии с увеличившимся составом ЕС, так, чтобы и старые государства-члены, и новые государства-члены Европейского Союза могли проводить успешную политику и экономику, так, что</w:t>
      </w:r>
      <w:r w:rsidRPr="0038608B">
        <w:rPr>
          <w:color w:val="000000"/>
          <w:sz w:val="28"/>
          <w:szCs w:val="28"/>
        </w:rPr>
        <w:t>бы никто</w:t>
      </w:r>
      <w:r w:rsidR="00EC284E" w:rsidRPr="0038608B">
        <w:rPr>
          <w:color w:val="000000"/>
          <w:sz w:val="28"/>
          <w:szCs w:val="28"/>
        </w:rPr>
        <w:t xml:space="preserve"> из стран</w:t>
      </w:r>
      <w:r w:rsidRPr="0038608B">
        <w:rPr>
          <w:color w:val="000000"/>
          <w:sz w:val="28"/>
          <w:szCs w:val="28"/>
        </w:rPr>
        <w:t xml:space="preserve"> не чувствовал себя обделенным.</w:t>
      </w:r>
    </w:p>
    <w:p w:rsidR="000A2251" w:rsidRPr="0038608B" w:rsidRDefault="000A225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377" w:rsidRPr="00074659" w:rsidRDefault="002F1377" w:rsidP="00074659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608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074659" w:rsidRPr="0007465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00168" w:rsidRPr="00074659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C63B7B" w:rsidRPr="00074659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C00168" w:rsidRPr="000746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4659" w:rsidRPr="000746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74659">
        <w:rPr>
          <w:rFonts w:ascii="Times New Roman" w:hAnsi="Times New Roman" w:cs="Times New Roman"/>
          <w:color w:val="000000"/>
          <w:sz w:val="28"/>
          <w:szCs w:val="28"/>
        </w:rPr>
        <w:t>оследствия</w:t>
      </w:r>
      <w:r w:rsidR="00BE0D2E" w:rsidRPr="00074659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прогнозы</w:t>
      </w:r>
      <w:r w:rsidRPr="00074659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вступления стран Центральной и Вост</w:t>
      </w:r>
      <w:r w:rsidR="00C63B7B" w:rsidRPr="00074659">
        <w:rPr>
          <w:rFonts w:ascii="Times New Roman" w:hAnsi="Times New Roman" w:cs="Times New Roman"/>
          <w:color w:val="000000"/>
          <w:sz w:val="28"/>
          <w:szCs w:val="28"/>
        </w:rPr>
        <w:t>очной Европы в Европейский Союз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Вступление стран Центральной и Восточной Европы в Европейский Союз представляется очень важным и серьезным шагом, так как непосредственно влияет на расстановку политических и экономических сил в Европе и в мире в целом.</w:t>
      </w:r>
      <w:r w:rsidR="00D260A1" w:rsidRPr="0038608B">
        <w:rPr>
          <w:color w:val="000000"/>
          <w:sz w:val="28"/>
          <w:szCs w:val="28"/>
        </w:rPr>
        <w:t xml:space="preserve"> Часто возникающий вопрос: кто же больше выигрывает от расширения ЕС – крупные старые члены, новые члены, Союз в целом – не имеет однозначного и окончательного ответа</w:t>
      </w:r>
      <w:r w:rsidRPr="0038608B">
        <w:rPr>
          <w:color w:val="000000"/>
          <w:sz w:val="28"/>
          <w:szCs w:val="28"/>
        </w:rPr>
        <w:t>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результате вступления стран ЦВЕ население ЕС увеличилось примерно на 100млн. человек и составило порядка 470 млн. человек. Значительно расширилась территория Евросоюза. Таким образом усиливается политический вес ЕС в мире, большая часть Европы объединена в рамках общей системы политической, экономической и экологической безопасности.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Необходимо отметить, что многие положительные результаты углубления интеграции страны ЦВЕ ощутили уже на этапе ассоциированного членства. Тогда государства ЦВЕ получили возможность до 60-65% товарооборота реализовывать на беспошлинной основе, а с 2001 года торговля промышленными товарами практически на 100% освобождена от пошлин и каких-либо количественных ограничений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4"/>
      </w:r>
      <w:r w:rsidRPr="0038608B">
        <w:rPr>
          <w:color w:val="000000"/>
          <w:sz w:val="28"/>
          <w:szCs w:val="28"/>
        </w:rPr>
        <w:t>.</w:t>
      </w:r>
    </w:p>
    <w:p w:rsidR="0038608B" w:rsidRDefault="00232B7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Также лидеры Евросоюза одобрили введение евро в Словении с 1 января 2007 года. Словения является первой страной из вступивших в ЕС стран ЦВЕ, которой удалось выполнить все необходимые критерии по снижению государственного долга и дефициту бюджета для присоединения к зоне евро. Инфляция в стране составила в 2005 году 2,4% при необходимых 2,61%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5"/>
      </w:r>
      <w:r w:rsidRPr="0038608B">
        <w:rPr>
          <w:color w:val="000000"/>
          <w:sz w:val="28"/>
          <w:szCs w:val="28"/>
        </w:rPr>
        <w:t>. Остальные страны, претендующие на вхождение в зону евро, пока не могут исполнить критерий по инфляции. Ожидает</w:t>
      </w:r>
      <w:r w:rsidR="00E63AE4" w:rsidRPr="0038608B">
        <w:rPr>
          <w:color w:val="000000"/>
          <w:sz w:val="28"/>
          <w:szCs w:val="28"/>
        </w:rPr>
        <w:t xml:space="preserve">ся, что Эстония, Литва, Латвия </w:t>
      </w:r>
      <w:r w:rsidRPr="0038608B">
        <w:rPr>
          <w:color w:val="000000"/>
          <w:sz w:val="28"/>
          <w:szCs w:val="28"/>
        </w:rPr>
        <w:t>перейдут на европейскую валюту в 2008 году, в 2009 году к зоне евро присоединится Словакия, а в 2010-м Чехия.</w:t>
      </w:r>
    </w:p>
    <w:p w:rsidR="00232B7E" w:rsidRPr="0038608B" w:rsidRDefault="00232B7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Необходимо заметить, что на заседании Совета Европейского союза по внутренним делам было принято решение о расширении Шенгенской зоны: с 2007 года в нее войдут девять из десяти государств, ставших членами ЕС в мае 2004 года. В основном она пополнится странами Центральной и Восточной Европы, среди которых Польша, Венгрия, Чехия, Словакия, Словения, Латвия, Литва и Эстония. Окончательное решение по упразднению контроля на границах с этими государствами примут на встрече министров внутренних дел и юстиции ЕС осенью следующего года, так что реальный процесс их интеграции начнется только в декабре 2007 года и продлится до конца марта 2008 года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6"/>
      </w:r>
      <w:r w:rsidRPr="0038608B">
        <w:rPr>
          <w:color w:val="000000"/>
          <w:sz w:val="28"/>
          <w:szCs w:val="28"/>
        </w:rPr>
        <w:t>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Еще до пятого расширения Европейского Союза можно было говорить о двухуровневом развитии стран ЕС: «на одном экономическом полюсе – Германия, Италия, Франция, на другом – Португалия и Греция»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7"/>
      </w:r>
      <w:r w:rsidRPr="0038608B">
        <w:rPr>
          <w:color w:val="000000"/>
          <w:sz w:val="28"/>
          <w:szCs w:val="28"/>
        </w:rPr>
        <w:t>. Теперь же, с принятием десяти новых членов и расширением числа участников крупнейшей интеграционной группировки до 25, уместно ставить вопрос о трехуровневом экономическом развитии стран, входящих в Европейский Союз.</w:t>
      </w:r>
    </w:p>
    <w:p w:rsidR="0017742A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Крупномасштабное присоединение к ЕС новых членов из стран ЦВЕ делает невозможным проведение политики солидарности в том объеме и тех формах, как это было в 90-е годы. В эти годы за счет ресурсов структурных фондов оказывалась поддержка регионам-получателям, в кото</w:t>
      </w:r>
      <w:r w:rsidR="0017742A" w:rsidRPr="0038608B">
        <w:rPr>
          <w:color w:val="000000"/>
          <w:sz w:val="28"/>
          <w:szCs w:val="28"/>
        </w:rPr>
        <w:t>рых проживало 178 млн. человек.</w:t>
      </w:r>
    </w:p>
    <w:p w:rsidR="0038608B" w:rsidRDefault="0017742A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Складывающееся положение не останавливает процесс политической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>интеграции и не служит непреодолимой преградой на пути экономической интеграции – оно просто осложняет ее. Разные скорости сокращения отставания новых государств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>ЕС от ведущих европейских стран остаются такой же реальностью, какими были разные скорости их движения на пути к евро-атлантическим структурам. Внутри Союза, видимо, никогда не исчезнут этноконфессиональные и культурные различия, останутся очертания и границы существующих географических зон. Если говорить конкретнее,</w:t>
      </w:r>
      <w:r w:rsidR="0094068B" w:rsidRPr="0038608B">
        <w:rPr>
          <w:color w:val="000000"/>
          <w:sz w:val="28"/>
          <w:szCs w:val="28"/>
        </w:rPr>
        <w:t xml:space="preserve"> то можно предположить, что</w:t>
      </w:r>
      <w:r w:rsidRPr="0038608B">
        <w:rPr>
          <w:color w:val="000000"/>
          <w:sz w:val="28"/>
          <w:szCs w:val="28"/>
        </w:rPr>
        <w:t xml:space="preserve"> сохранят свою региональную идентичность страны Балтии, Балкан, а также Польша, Чехия и Венгрия как группа инициаторов вхождения в НАТО и ЕС; Словакия и Словения вместе с Польшей и Чехией могут образовать субрегион (по отношению ко всей ЦВЕ) с преобладанием славянских этносов и католицизма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8"/>
      </w:r>
      <w:r w:rsidRPr="0038608B">
        <w:rPr>
          <w:color w:val="000000"/>
          <w:sz w:val="28"/>
          <w:szCs w:val="28"/>
        </w:rPr>
        <w:t>.</w:t>
      </w:r>
    </w:p>
    <w:p w:rsid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Вступление в ЕС стран ЦВЕ существенно снизило показатель совокупного ВВП на душу населения, поэтому ряд районов – бывших получателей помощи потеряли статус наиболее бедных, так как их показатель превысил 75% среднего по ЕС уровня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29"/>
      </w:r>
      <w:r w:rsidRPr="0038608B">
        <w:rPr>
          <w:color w:val="000000"/>
          <w:sz w:val="28"/>
          <w:szCs w:val="28"/>
        </w:rPr>
        <w:t>. Однако в долгосрочной перспективе ожидаются определенные положительные перспективы.</w:t>
      </w:r>
      <w:r w:rsidR="00D260A1" w:rsidRPr="0038608B">
        <w:rPr>
          <w:color w:val="000000"/>
          <w:sz w:val="28"/>
          <w:szCs w:val="28"/>
        </w:rPr>
        <w:t xml:space="preserve"> Существует мнение, что в течение 10 лет после расширения совокупный ВВП ЕС вырастет на 0,5% по сравнению с предыдущим десятилетием - в этом случае отложенный экономический выигрыш перевесит для Союза текущий проигрыш. Также необходимо заметить, что проходит процесс расширения потребительского рынка, снижается уровень безработицы</w:t>
      </w:r>
      <w:r w:rsidR="00D260A1" w:rsidRPr="0038608B">
        <w:rPr>
          <w:color w:val="000000"/>
          <w:sz w:val="28"/>
          <w:szCs w:val="28"/>
        </w:rPr>
        <w:footnoteReference w:id="30"/>
      </w:r>
      <w:r w:rsidR="00D260A1" w:rsidRPr="0038608B">
        <w:rPr>
          <w:color w:val="000000"/>
          <w:sz w:val="28"/>
          <w:szCs w:val="28"/>
        </w:rPr>
        <w:t xml:space="preserve"> (в странах ЦВЕ безработица в 2004 г. снизилась</w:t>
      </w:r>
      <w:r w:rsidR="0038608B">
        <w:rPr>
          <w:color w:val="000000"/>
          <w:sz w:val="28"/>
          <w:szCs w:val="28"/>
        </w:rPr>
        <w:t xml:space="preserve"> </w:t>
      </w:r>
      <w:r w:rsidR="00D260A1" w:rsidRPr="0038608B">
        <w:rPr>
          <w:color w:val="000000"/>
          <w:sz w:val="28"/>
          <w:szCs w:val="28"/>
        </w:rPr>
        <w:t>по сравнению с предыдущим годом с 8,5% до 8,3%), улучшаются условия для экспансии капитала и корпораций ведущих европейских</w:t>
      </w:r>
      <w:r w:rsidR="0038608B">
        <w:rPr>
          <w:color w:val="000000"/>
          <w:sz w:val="28"/>
          <w:szCs w:val="28"/>
        </w:rPr>
        <w:t xml:space="preserve"> </w:t>
      </w:r>
      <w:r w:rsidR="00D260A1" w:rsidRPr="0038608B">
        <w:rPr>
          <w:color w:val="000000"/>
          <w:sz w:val="28"/>
          <w:szCs w:val="28"/>
        </w:rPr>
        <w:t>держав в реальную экономику и на рынки стран ЦВЕ. Но эта экспансия имеет оборотную сторону – утечку инвестиций сверх допустимого уровня</w:t>
      </w:r>
      <w:r w:rsidR="0038608B">
        <w:rPr>
          <w:color w:val="000000"/>
          <w:sz w:val="28"/>
          <w:szCs w:val="28"/>
        </w:rPr>
        <w:t xml:space="preserve"> </w:t>
      </w:r>
      <w:r w:rsidR="00D260A1" w:rsidRPr="0038608B">
        <w:rPr>
          <w:color w:val="000000"/>
          <w:sz w:val="28"/>
          <w:szCs w:val="28"/>
        </w:rPr>
        <w:t>вследствие более низких налогов</w:t>
      </w:r>
      <w:r w:rsidR="0038608B">
        <w:rPr>
          <w:color w:val="000000"/>
          <w:sz w:val="28"/>
          <w:szCs w:val="28"/>
        </w:rPr>
        <w:t xml:space="preserve"> </w:t>
      </w:r>
      <w:r w:rsidR="00D260A1" w:rsidRPr="0038608B">
        <w:rPr>
          <w:color w:val="000000"/>
          <w:sz w:val="28"/>
          <w:szCs w:val="28"/>
        </w:rPr>
        <w:t>(подоходных, корпоративных, на рабочую силу, НДС) в этих странах.</w:t>
      </w:r>
    </w:p>
    <w:p w:rsidR="00925FE6" w:rsidRPr="0038608B" w:rsidRDefault="00D260A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Для оценки возможностей не формальной, а сущностной экономической интеграции ЦВЕ в ЕС полезно констатировать, что за полтора десятилетия в регионе появились средние слои материально обеспеченного населения и независимое предпринимательство, включая мелкий бизнес, перенимается управленческий опыт развитых капиталистических стран, происходит адаптация законодательства в хозяйственной сфере к нормам и практике ЕС-15, расширяется ассортимент товаров массового спроса и услуг. Темпы, количественные и качественные характеристики этих явлений в разных странах неодинаковы и достаточно условны</w:t>
      </w:r>
      <w:r w:rsidR="00A0445F" w:rsidRPr="0038608B">
        <w:rPr>
          <w:rStyle w:val="a8"/>
          <w:color w:val="000000"/>
          <w:sz w:val="28"/>
          <w:szCs w:val="28"/>
          <w:vertAlign w:val="baseline"/>
        </w:rPr>
        <w:footnoteReference w:id="31"/>
      </w:r>
      <w:r w:rsidRPr="0038608B">
        <w:rPr>
          <w:color w:val="000000"/>
          <w:sz w:val="28"/>
          <w:szCs w:val="28"/>
        </w:rPr>
        <w:t>. Сохраняются более низкая по сравнению с ядром Европы технологическая и инфраструктурная оснащенность экономик, более низкое качество культуры труда и рабочей силы и, как следствие, невысокая конкурентоспособность большинства производимых в регионе товаров и услуг. Никто не в состоянии дать точный прогноз о сроках преодоления этого отставания, как и с уверенностью предположить, что оно вообще произойдет, поскольку за это время развитые страны также не будут стоять на месте. В странах ЦВЕ есть отрасли и предприятия, выполняющие роль флагманов в движении реальной экономики к стандартам Запада, но вне сырьевого и добывающего сектора их пока слишком мало (например, полиграфическая индустрия в Польше, автомобилестроение в Чехии, гостиничный бизнес и электроника в Венгрии). Во многих странах региона после вхождения в ЕС был закрыт ряд предприятий по причине их неконкурентоспособности. Хотя эти предприятия в основном государственные, в целом сохраняется чрезмерно высокая (по меркам Запада) роль государства в экономике. Не преодолена система административного контроля над ценами на сельскохозяйственную продукцию</w:t>
      </w:r>
      <w:r w:rsidR="00A0445F" w:rsidRPr="0038608B">
        <w:rPr>
          <w:rStyle w:val="a8"/>
          <w:color w:val="000000"/>
          <w:sz w:val="28"/>
          <w:szCs w:val="28"/>
          <w:vertAlign w:val="baseline"/>
        </w:rPr>
        <w:footnoteReference w:id="32"/>
      </w:r>
      <w:r w:rsidRPr="0038608B">
        <w:rPr>
          <w:color w:val="000000"/>
          <w:sz w:val="28"/>
          <w:szCs w:val="28"/>
        </w:rPr>
        <w:t>.</w:t>
      </w:r>
    </w:p>
    <w:p w:rsidR="0038608B" w:rsidRDefault="00925FE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Оставляет желать лучшего и интеграция иностранного и национального секторов промышленности. Она остается слабой, собственное производство стран ЦВЕ резко отстает по показателям эффективности, качеству продукции и оплате труда от предприятий с иностранным участием. Иностранные инвесторы открывают в странах ЦВЕ собственные производства, работающие по модульному принципу, а традиционные низкоприбыльные отрасли остаются вне зоны их интереса. К тому же отрасли промышленности в странах </w:t>
      </w:r>
      <w:r w:rsidR="009D66B4" w:rsidRPr="0038608B">
        <w:rPr>
          <w:color w:val="000000"/>
          <w:sz w:val="28"/>
          <w:szCs w:val="28"/>
        </w:rPr>
        <w:t>«</w:t>
      </w:r>
      <w:r w:rsidRPr="0038608B">
        <w:rPr>
          <w:color w:val="000000"/>
          <w:sz w:val="28"/>
          <w:szCs w:val="28"/>
        </w:rPr>
        <w:t>Новой Европы</w:t>
      </w:r>
      <w:r w:rsidR="009D66B4" w:rsidRPr="0038608B">
        <w:rPr>
          <w:color w:val="000000"/>
          <w:sz w:val="28"/>
          <w:szCs w:val="28"/>
        </w:rPr>
        <w:t>»</w:t>
      </w:r>
      <w:r w:rsidR="009D66B4" w:rsidRPr="0038608B">
        <w:rPr>
          <w:rStyle w:val="a8"/>
          <w:color w:val="000000"/>
          <w:sz w:val="28"/>
          <w:szCs w:val="28"/>
          <w:vertAlign w:val="baseline"/>
        </w:rPr>
        <w:footnoteReference w:id="33"/>
      </w:r>
      <w:r w:rsidRPr="0038608B">
        <w:rPr>
          <w:color w:val="000000"/>
          <w:sz w:val="28"/>
          <w:szCs w:val="28"/>
        </w:rPr>
        <w:t xml:space="preserve"> все более тяготеют к "монопродукции"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34"/>
      </w:r>
      <w:r w:rsidRPr="0038608B">
        <w:rPr>
          <w:color w:val="000000"/>
          <w:sz w:val="28"/>
          <w:szCs w:val="28"/>
        </w:rPr>
        <w:t>.</w:t>
      </w:r>
    </w:p>
    <w:p w:rsidR="0038608B" w:rsidRDefault="00925FE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При такой модели ухудшение положения крупных материнских компаний тут же негативно сказывается на деятельности их предприятий в восточноевропейском регионе. В-третьих, несмотря на высокую динамику экспорта, в последние годы ухудшается внешнеторговая сбалансированность. Данная ситуация особенно болезненна для Польши, где отрицательное сальдо импортно-экспортных операций вдвое превышает размер иностранных инвестиций.</w:t>
      </w:r>
    </w:p>
    <w:p w:rsidR="00925FE6" w:rsidRPr="0038608B" w:rsidRDefault="00925FE6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И главное, в результате опоры на ТНК, как основной источник технологических инноваций, сфера науки в восточноевропейских странах оказалась на положении изгоя. Почти целиком распалась индустриальная и научно-исследовательская деятельность. Прикладные исследования были частично или полностью прикрыты. В целом за время постсоциалистической трансформации страны ЦВЕ </w:t>
      </w:r>
      <w:r w:rsidR="00EC187C" w:rsidRPr="0038608B">
        <w:rPr>
          <w:color w:val="000000"/>
          <w:sz w:val="28"/>
          <w:szCs w:val="28"/>
        </w:rPr>
        <w:t>«</w:t>
      </w:r>
      <w:r w:rsidRPr="0038608B">
        <w:rPr>
          <w:color w:val="000000"/>
          <w:sz w:val="28"/>
          <w:szCs w:val="28"/>
        </w:rPr>
        <w:t>растеряли</w:t>
      </w:r>
      <w:r w:rsidR="00EC187C" w:rsidRPr="0038608B">
        <w:rPr>
          <w:color w:val="000000"/>
          <w:sz w:val="28"/>
          <w:szCs w:val="28"/>
        </w:rPr>
        <w:t>»</w:t>
      </w:r>
      <w:r w:rsidR="00EC187C" w:rsidRPr="0038608B">
        <w:rPr>
          <w:rStyle w:val="a8"/>
          <w:color w:val="000000"/>
          <w:sz w:val="28"/>
          <w:szCs w:val="28"/>
          <w:vertAlign w:val="baseline"/>
        </w:rPr>
        <w:footnoteReference w:id="35"/>
      </w:r>
      <w:r w:rsidRPr="0038608B">
        <w:rPr>
          <w:color w:val="000000"/>
          <w:sz w:val="28"/>
          <w:szCs w:val="28"/>
        </w:rPr>
        <w:t xml:space="preserve"> от половины до 75% своих научных кадров. Подобная ситуация вызывает беспокойство даже в Брюсселе, где считают, что страны ЦВЕ должны осуществить соответствующие изменения в экономической стратегии и политике, чтобы наверстать отставание в инновационной сфере от западного сообщества.</w:t>
      </w:r>
    </w:p>
    <w:p w:rsidR="0094068B" w:rsidRPr="0038608B" w:rsidRDefault="0094068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Однако стоит заметить, что после вступления стран ЦВЕ в Европейский Союз стало возможным повышение занятости и конкурентоспособности национальных экономик благодаря проникновению в экономику крупных зарубежных транснациональных корпораций. Этому способствовала политика восточноевропейских стран, рассматривающих зарубежные инвестиции как одно из наиболее эффективных направлений интеграции в западноевропейское пространство, как основную движущую силу реструктуризации, единственную возможность получения доступа к современным технологиям и значительным финансовым ресурсам. Для деятельности ТНК в этих странах были созданы все условия: предоставлены налоговые льготы и каникулы, организованы зоны свободной торговли, приняты другие важные макроэкономические решения.</w:t>
      </w:r>
    </w:p>
    <w:p w:rsidR="0094068B" w:rsidRPr="0038608B" w:rsidRDefault="0094068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В итоге предприятия с полным или частичным участием иностранного капитала занимают сегодня серьезные позиции в экономике многих стран ЦВЕ. Так в Чехии и Польше на них приходится уже более половины выпускаемой продукции, в Венгрии - почти две трети. Одновременно технологическое облагораживание промышленности этих стран сопровождается существенным увеличением их экспортных возможностей. С 1995 по 2002 гг. совокупный объем экспорта в регионе вырос на 60%. Сегодня доля стран ЦВЕ в совокупном импорте стран зоны евро составляет 13%, что равняется доле США</w:t>
      </w:r>
      <w:r w:rsidR="00925FE6" w:rsidRPr="0038608B">
        <w:rPr>
          <w:rStyle w:val="a8"/>
          <w:color w:val="000000"/>
          <w:sz w:val="28"/>
          <w:szCs w:val="28"/>
          <w:vertAlign w:val="baseline"/>
        </w:rPr>
        <w:footnoteReference w:id="36"/>
      </w:r>
      <w:r w:rsidRPr="0038608B">
        <w:rPr>
          <w:color w:val="000000"/>
          <w:sz w:val="28"/>
          <w:szCs w:val="28"/>
        </w:rPr>
        <w:t>.</w:t>
      </w:r>
    </w:p>
    <w:p w:rsidR="0038608B" w:rsidRDefault="0094068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Особенно заметен рост экспорта в высокотехнологичных отраслях промышленности -авиационной, электронной, химико-фармацевтической, в производстве средств связи. Оснащенные современным оборудованием, эти отрасли стали выделяться более высоким уровнем производительности труда, качеством выпускаемой продукции, отвечающим требованиям ЕС, и как следствие - конкурентоспособностью на внешних рынках. Информационные и телекоммуникационные технологии</w:t>
      </w:r>
      <w:r w:rsidR="00CF2F96" w:rsidRPr="0038608B">
        <w:rPr>
          <w:color w:val="000000"/>
          <w:sz w:val="28"/>
          <w:szCs w:val="28"/>
        </w:rPr>
        <w:t xml:space="preserve"> (ИТТ)</w:t>
      </w:r>
      <w:r w:rsidRPr="0038608B">
        <w:rPr>
          <w:color w:val="000000"/>
          <w:sz w:val="28"/>
          <w:szCs w:val="28"/>
        </w:rPr>
        <w:t xml:space="preserve"> в регионе быстрее всего развивали Польша, Чехия, Венгрия, Словакия и Хорватия - в 2004 году оборот рынка ИТ</w:t>
      </w:r>
      <w:r w:rsidR="00CF2F96" w:rsidRPr="0038608B">
        <w:rPr>
          <w:color w:val="000000"/>
          <w:sz w:val="28"/>
          <w:szCs w:val="28"/>
        </w:rPr>
        <w:t>Т</w:t>
      </w:r>
      <w:r w:rsidRPr="0038608B">
        <w:rPr>
          <w:color w:val="000000"/>
          <w:sz w:val="28"/>
          <w:szCs w:val="28"/>
        </w:rPr>
        <w:t xml:space="preserve"> в этих странах превысил $19 млрд. По данным Всемирного банка, в 2002 году доля высокотехнологичной продукции в т</w:t>
      </w:r>
      <w:r w:rsidR="00CF2F96" w:rsidRPr="0038608B">
        <w:rPr>
          <w:color w:val="000000"/>
          <w:sz w:val="28"/>
          <w:szCs w:val="28"/>
        </w:rPr>
        <w:t>оварном экспорте Венгрии составля</w:t>
      </w:r>
      <w:r w:rsidRPr="0038608B">
        <w:rPr>
          <w:color w:val="000000"/>
          <w:sz w:val="28"/>
          <w:szCs w:val="28"/>
        </w:rPr>
        <w:t>ла 25%, Чехии - 14% (для сравнения в Германии - 17%). При этом в экспорте восточно-европейских стран сокращается доля сырья. Так, за последние 10 лет доля сырья в польском экспорте сократилась с 60% до 20%</w:t>
      </w:r>
      <w:r w:rsidR="00EC187C" w:rsidRPr="0038608B">
        <w:rPr>
          <w:rStyle w:val="a8"/>
          <w:color w:val="000000"/>
          <w:sz w:val="28"/>
          <w:szCs w:val="28"/>
          <w:vertAlign w:val="baseline"/>
        </w:rPr>
        <w:footnoteReference w:id="37"/>
      </w:r>
      <w:r w:rsidRPr="0038608B">
        <w:rPr>
          <w:color w:val="000000"/>
          <w:sz w:val="28"/>
          <w:szCs w:val="28"/>
        </w:rPr>
        <w:t>.</w:t>
      </w:r>
    </w:p>
    <w:p w:rsidR="002359EA" w:rsidRPr="0038608B" w:rsidRDefault="00D260A1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</w:t>
      </w:r>
      <w:r w:rsidR="002F1377" w:rsidRPr="0038608B">
        <w:rPr>
          <w:color w:val="000000"/>
          <w:sz w:val="28"/>
          <w:szCs w:val="28"/>
        </w:rPr>
        <w:t>еобходимо отметить, что в условиях соперничества между ведущими державами за лидерство в Евросоюзе перед средними и малыми государствами-членами возникла проблема выбора линии поведения: либо быть расколотыми и войти в команду какого-либо «гранда»</w:t>
      </w:r>
      <w:r w:rsidR="002F1377" w:rsidRPr="0038608B">
        <w:rPr>
          <w:rStyle w:val="a8"/>
          <w:color w:val="000000"/>
          <w:sz w:val="28"/>
          <w:szCs w:val="28"/>
          <w:vertAlign w:val="baseline"/>
        </w:rPr>
        <w:footnoteReference w:id="38"/>
      </w:r>
      <w:r w:rsidR="002F1377" w:rsidRPr="0038608B">
        <w:rPr>
          <w:color w:val="000000"/>
          <w:sz w:val="28"/>
          <w:szCs w:val="28"/>
        </w:rPr>
        <w:t>, либо формировать собственную консолидированную позицию относительно перспектив Европейского Союза и последовательно отстаивать в рамках складывающейся политической системы свои специфические интересы. Главным препятствием на пути создания такого «мини-союза» являются разные производственно-экономические, социально-демографические, территориальные и другие возможности развития стран ЦВЕ.</w:t>
      </w:r>
    </w:p>
    <w:p w:rsidR="0038608B" w:rsidRDefault="002359EA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Таким образом, страны ЦВЕ автоматически встают на путь догоняющего развития, а это не самая оптимальная модель в нынешнем быстро меняющемся мире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39"/>
      </w:r>
      <w:r w:rsidRPr="0038608B">
        <w:rPr>
          <w:color w:val="000000"/>
          <w:sz w:val="28"/>
          <w:szCs w:val="28"/>
        </w:rPr>
        <w:t>.</w:t>
      </w:r>
    </w:p>
    <w:p w:rsidR="0038608B" w:rsidRDefault="002359EA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Единственным вариантом решения перечисленных проблем и противоречий могла бы стать эффективная промышленная политика, которая бы позволила восточноевропейским странам наверстать экономическое и технологическое отставание от своих западных партнеров по Евросоюзу и одновременно предотвратить складывающуюся зависимость от ТНК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40"/>
      </w:r>
      <w:r w:rsidRPr="0038608B">
        <w:rPr>
          <w:color w:val="000000"/>
          <w:sz w:val="28"/>
          <w:szCs w:val="28"/>
        </w:rPr>
        <w:t>.</w:t>
      </w:r>
    </w:p>
    <w:p w:rsidR="0038608B" w:rsidRDefault="002359EA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Но если же</w:t>
      </w:r>
      <w:r w:rsidR="002F1377" w:rsidRPr="0038608B">
        <w:rPr>
          <w:color w:val="000000"/>
          <w:sz w:val="28"/>
          <w:szCs w:val="28"/>
        </w:rPr>
        <w:t xml:space="preserve"> государства ЦВЕ хотят добиться реального влияния на формирование ЕС своей политики, на определение стратегического курса европейской интеграции, им «придется увязать свои интересы и цели с целями и интересами единой Европы»</w:t>
      </w:r>
      <w:r w:rsidR="002F1377" w:rsidRPr="0038608B">
        <w:rPr>
          <w:rStyle w:val="a8"/>
          <w:color w:val="000000"/>
          <w:sz w:val="28"/>
          <w:szCs w:val="28"/>
          <w:vertAlign w:val="baseline"/>
        </w:rPr>
        <w:footnoteReference w:id="41"/>
      </w:r>
      <w:r w:rsidR="002F1377" w:rsidRPr="0038608B">
        <w:rPr>
          <w:color w:val="000000"/>
          <w:sz w:val="28"/>
          <w:szCs w:val="28"/>
        </w:rPr>
        <w:t>. Новичкам придется заключать временные, продиктованные краткосрочными интересами альянсами, одновременно сохраняя стратегическое взаимодействие со «старым ядром» ЕС.</w:t>
      </w:r>
    </w:p>
    <w:p w:rsidR="002F1377" w:rsidRPr="0038608B" w:rsidRDefault="002F137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Лишь «активное» членство в ЕС устранит скептицизм и пассивность и придаст мощный импульс европейской интеграции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42"/>
      </w:r>
      <w:r w:rsidRPr="0038608B">
        <w:rPr>
          <w:color w:val="000000"/>
          <w:sz w:val="28"/>
          <w:szCs w:val="28"/>
        </w:rPr>
        <w:t>.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B7B" w:rsidRPr="00074659" w:rsidRDefault="00C63B7B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Pr="00074659">
        <w:rPr>
          <w:b/>
          <w:bCs/>
          <w:color w:val="000000"/>
          <w:sz w:val="28"/>
          <w:szCs w:val="28"/>
        </w:rPr>
        <w:t>Заключение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18F5" w:rsidRPr="0038608B" w:rsidRDefault="00EC18F5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Подводя итог проделанной работе, нужно отметить, что все поставленные цели и задачи были выполнены.</w:t>
      </w:r>
    </w:p>
    <w:p w:rsidR="00EC18F5" w:rsidRPr="0038608B" w:rsidRDefault="00EC18F5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Были изучены требования Европейского Союза, предъявляемые странам Центральной и Восточной Европы к вступлению в ЕС. Они были в полной мере выполнены странами. К тому же сам Евросоюз шел в некоторых случаях на уступки. Кроме того Е</w:t>
      </w:r>
      <w:r w:rsidR="0080351F" w:rsidRPr="0038608B">
        <w:rPr>
          <w:color w:val="000000"/>
          <w:sz w:val="28"/>
          <w:szCs w:val="28"/>
        </w:rPr>
        <w:t xml:space="preserve">вропейский </w:t>
      </w:r>
      <w:r w:rsidRPr="0038608B">
        <w:rPr>
          <w:color w:val="000000"/>
          <w:sz w:val="28"/>
          <w:szCs w:val="28"/>
        </w:rPr>
        <w:t>С</w:t>
      </w:r>
      <w:r w:rsidR="0080351F" w:rsidRPr="0038608B">
        <w:rPr>
          <w:color w:val="000000"/>
          <w:sz w:val="28"/>
          <w:szCs w:val="28"/>
        </w:rPr>
        <w:t>оюз</w:t>
      </w:r>
      <w:r w:rsidRPr="0038608B">
        <w:rPr>
          <w:color w:val="000000"/>
          <w:sz w:val="28"/>
          <w:szCs w:val="28"/>
        </w:rPr>
        <w:t xml:space="preserve"> на предвступительном этапе финансировал страны ЦВЕ, благодаря чему они </w:t>
      </w:r>
      <w:r w:rsidR="0080351F" w:rsidRPr="0038608B">
        <w:rPr>
          <w:color w:val="000000"/>
          <w:sz w:val="28"/>
          <w:szCs w:val="28"/>
        </w:rPr>
        <w:t>смогли быстрее закончить реформирование различных институтов и структур.</w:t>
      </w:r>
    </w:p>
    <w:p w:rsidR="0038608B" w:rsidRDefault="0080351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Также были определены последствия вступления стран Центральной и Восточной Европы в Евросоюз. Несмотря на скептические настроения до вступления, на предположения о полном провале, страны ЦВЕ все же смогли достичь поставленной ими цели. Более того, можно назвать данное событие положительным, так как в итоге страны добились немалых успехов в экономике.</w:t>
      </w:r>
      <w:r w:rsidR="00A4799E" w:rsidRPr="0038608B">
        <w:rPr>
          <w:color w:val="000000"/>
          <w:sz w:val="28"/>
          <w:szCs w:val="28"/>
        </w:rPr>
        <w:t xml:space="preserve"> Ведь</w:t>
      </w:r>
      <w:r w:rsidR="00232B7E" w:rsidRPr="0038608B">
        <w:rPr>
          <w:color w:val="000000"/>
          <w:sz w:val="28"/>
          <w:szCs w:val="28"/>
        </w:rPr>
        <w:t xml:space="preserve"> даже сама</w:t>
      </w:r>
      <w:r w:rsidR="00A4799E" w:rsidRPr="0038608B">
        <w:rPr>
          <w:color w:val="000000"/>
          <w:sz w:val="28"/>
          <w:szCs w:val="28"/>
        </w:rPr>
        <w:t xml:space="preserve"> перспектива присоединения к Евросоюзу позволила ускорить экономические и политические реформы и снизить потенциал возможного возникновения между странами региона конфликтов. С точки зрения новых членов ЕС, они получили шанс выбраться с периферии Европы и стать составной частью «европейского пространства благосостояния и безопасности»</w:t>
      </w:r>
      <w:r w:rsidR="00A4799E" w:rsidRPr="0038608B">
        <w:rPr>
          <w:rStyle w:val="a8"/>
          <w:color w:val="000000"/>
          <w:sz w:val="28"/>
          <w:szCs w:val="28"/>
          <w:vertAlign w:val="baseline"/>
        </w:rPr>
        <w:footnoteReference w:id="43"/>
      </w:r>
      <w:r w:rsidR="00A4799E" w:rsidRPr="0038608B">
        <w:rPr>
          <w:color w:val="000000"/>
          <w:sz w:val="28"/>
          <w:szCs w:val="28"/>
        </w:rPr>
        <w:t>.</w:t>
      </w:r>
    </w:p>
    <w:p w:rsidR="0080351F" w:rsidRPr="0038608B" w:rsidRDefault="00A4799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</w:t>
      </w:r>
      <w:r w:rsidR="0080351F" w:rsidRPr="0038608B">
        <w:rPr>
          <w:color w:val="000000"/>
          <w:sz w:val="28"/>
          <w:szCs w:val="28"/>
        </w:rPr>
        <w:t>ам</w:t>
      </w:r>
      <w:r w:rsidRPr="0038608B">
        <w:rPr>
          <w:color w:val="000000"/>
          <w:sz w:val="28"/>
          <w:szCs w:val="28"/>
        </w:rPr>
        <w:t xml:space="preserve"> же</w:t>
      </w:r>
      <w:r w:rsidR="0080351F" w:rsidRPr="0038608B">
        <w:rPr>
          <w:color w:val="000000"/>
          <w:sz w:val="28"/>
          <w:szCs w:val="28"/>
        </w:rPr>
        <w:t xml:space="preserve"> Европейский Союз показал себя миролюбивым актором международных отношений, готовым пойти на уступки и заключение консенсусов.</w:t>
      </w:r>
    </w:p>
    <w:p w:rsidR="00C63B7B" w:rsidRPr="0038608B" w:rsidRDefault="0080351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Пятое расширение Евросоюза сделало европейскую часть континента еще более бесконфликтной и объединенной. </w:t>
      </w:r>
      <w:r w:rsidR="00C63B7B" w:rsidRPr="0038608B">
        <w:rPr>
          <w:color w:val="000000"/>
          <w:sz w:val="28"/>
          <w:szCs w:val="28"/>
        </w:rPr>
        <w:t>По мнению старых членов ЕС, удалось добиться огромного успеха в плане стабилизации ситуации на континенте, так как в состав Европейского Союза была принята группа стран, которые были непосредственными соседями ЕС. Кроме того, в начале 1990х годов эксперты затруднялись сказать, какой путь развития изберут эти государства.</w:t>
      </w:r>
    </w:p>
    <w:p w:rsidR="00C63B7B" w:rsidRPr="0038608B" w:rsidRDefault="00C63B7B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Другими словами, членство в ЕС предоставляет странам Центральной и Восточной Европы уникальную историческую возможность придать мощный толчок собственной модернизации и «состыковаться с локомотивом»</w:t>
      </w:r>
      <w:r w:rsidRPr="0038608B">
        <w:rPr>
          <w:rStyle w:val="a8"/>
          <w:color w:val="000000"/>
          <w:sz w:val="28"/>
          <w:szCs w:val="28"/>
          <w:vertAlign w:val="baseline"/>
        </w:rPr>
        <w:footnoteReference w:id="44"/>
      </w:r>
      <w:r w:rsidRPr="0038608B">
        <w:rPr>
          <w:color w:val="000000"/>
          <w:sz w:val="28"/>
          <w:szCs w:val="28"/>
        </w:rPr>
        <w:t xml:space="preserve"> социально-экономического развития Европы, получив в то же время доступ к механизму принятия Европейским Союзом политических решений.</w:t>
      </w:r>
    </w:p>
    <w:p w:rsidR="00A4799E" w:rsidRPr="0038608B" w:rsidRDefault="00A4799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Однако же, несмотря на немалое количество положительных моментов, существуют и недостатки вступления стран ЦВЕ в ЕС. Но можно с большой долей вероятности сказать, что Союз и новые государства-члены сделали все для того, чтобы как можно сильнее сузить их масштаб.</w:t>
      </w:r>
    </w:p>
    <w:p w:rsidR="00A4799E" w:rsidRPr="0038608B" w:rsidRDefault="00A4799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Как показало вступление 1 января 2007 года Болгарии и Румынии в Европейский Союз, страны Европы по-прежнему хотят войти в ЕС. </w:t>
      </w:r>
      <w:r w:rsidR="00CA6D51" w:rsidRPr="0038608B">
        <w:rPr>
          <w:color w:val="000000"/>
          <w:sz w:val="28"/>
          <w:szCs w:val="28"/>
        </w:rPr>
        <w:t>Можно с уверенностью предполагать, что пройдет еще не одно расширение Евросоюза, и в конце концов в Европе надолго установится бесконфликтное положение.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B7B" w:rsidRPr="00074659" w:rsidRDefault="00C63B7B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Pr="00074659">
        <w:rPr>
          <w:b/>
          <w:bCs/>
          <w:color w:val="000000"/>
          <w:sz w:val="28"/>
          <w:szCs w:val="28"/>
        </w:rPr>
        <w:t>Список источников и литературы</w:t>
      </w:r>
    </w:p>
    <w:p w:rsidR="00074659" w:rsidRPr="0038608B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08B" w:rsidRDefault="00CA6D51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1. Источники</w:t>
      </w:r>
    </w:p>
    <w:p w:rsidR="0038608B" w:rsidRDefault="00CA6D51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1.1. </w:t>
      </w:r>
      <w:r w:rsidR="00771C9F" w:rsidRPr="0038608B">
        <w:rPr>
          <w:color w:val="000000"/>
          <w:sz w:val="28"/>
          <w:szCs w:val="28"/>
        </w:rPr>
        <w:t>ВВП в странах ЕС. Официальный сайт Европейского Союза. [Электронный ресурс]. Режим доступа: http://epp.eurostat.ec.europa.eu/portal/page?_pageid=1996,39140985&amp;_dad=portal&amp;_schema=PORTAL&amp;screen=detailref&amp;language=en&amp;product=EU_MASTER_main_economic_indicators&amp;root=EU_MASTER_main_economic_indicators/main/overview/yearlies/B1/B11/eb011. , дата посещения 01.05.2007</w:t>
      </w:r>
    </w:p>
    <w:p w:rsidR="0038608B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1.2. </w:t>
      </w:r>
      <w:r w:rsidRPr="00074659">
        <w:rPr>
          <w:color w:val="000000"/>
          <w:sz w:val="28"/>
          <w:szCs w:val="28"/>
        </w:rPr>
        <w:t>«Повестка дня 2000»</w:t>
      </w:r>
      <w:r w:rsidR="00771C9F" w:rsidRPr="00074659">
        <w:rPr>
          <w:color w:val="000000"/>
          <w:sz w:val="28"/>
          <w:szCs w:val="28"/>
        </w:rPr>
        <w:t xml:space="preserve">. Европейские исследования. [Электронный ресурс]. Режим доступа: </w:t>
      </w:r>
      <w:r w:rsidR="00771C9F" w:rsidRPr="0038608B">
        <w:rPr>
          <w:color w:val="000000"/>
          <w:sz w:val="28"/>
          <w:szCs w:val="28"/>
          <w:lang w:val="en-US"/>
        </w:rPr>
        <w:t>http</w:t>
      </w:r>
      <w:r w:rsidR="00771C9F" w:rsidRPr="00074659">
        <w:rPr>
          <w:color w:val="000000"/>
          <w:sz w:val="28"/>
          <w:szCs w:val="28"/>
        </w:rPr>
        <w:t>://</w:t>
      </w:r>
      <w:r w:rsidR="00771C9F" w:rsidRPr="0038608B">
        <w:rPr>
          <w:color w:val="000000"/>
          <w:sz w:val="28"/>
          <w:szCs w:val="28"/>
          <w:lang w:val="en-US"/>
        </w:rPr>
        <w:t>hist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asu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ru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aes</w:t>
      </w:r>
      <w:r w:rsidR="00771C9F" w:rsidRPr="00074659">
        <w:rPr>
          <w:color w:val="000000"/>
          <w:sz w:val="28"/>
          <w:szCs w:val="28"/>
        </w:rPr>
        <w:t>/99_2.</w:t>
      </w:r>
      <w:r w:rsidR="00771C9F" w:rsidRPr="0038608B">
        <w:rPr>
          <w:color w:val="000000"/>
          <w:sz w:val="28"/>
          <w:szCs w:val="28"/>
          <w:lang w:val="en-US"/>
        </w:rPr>
        <w:t>pdf</w:t>
      </w:r>
      <w:r w:rsidR="00771C9F" w:rsidRPr="00074659">
        <w:rPr>
          <w:color w:val="000000"/>
          <w:sz w:val="28"/>
          <w:szCs w:val="28"/>
        </w:rPr>
        <w:t>. , дата посещения 31.04.2007</w:t>
      </w:r>
    </w:p>
    <w:p w:rsidR="0038608B" w:rsidRPr="00074659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  <w:lang w:val="en-US"/>
        </w:rPr>
        <w:t>1.3. DECISION OF THE COUNCIL OF THE EUROPEAN UNION</w:t>
      </w:r>
      <w:r w:rsidR="00771C9F" w:rsidRPr="0038608B">
        <w:rPr>
          <w:color w:val="000000"/>
          <w:sz w:val="28"/>
          <w:szCs w:val="28"/>
          <w:lang w:val="en-US"/>
        </w:rPr>
        <w:t xml:space="preserve">. </w:t>
      </w:r>
      <w:r w:rsidR="00771C9F" w:rsidRPr="00074659">
        <w:rPr>
          <w:color w:val="000000"/>
          <w:sz w:val="28"/>
          <w:szCs w:val="28"/>
        </w:rPr>
        <w:t xml:space="preserve">Официальный сайт Европейского Союза. [Электронный ресурс]. Режим доступа: </w:t>
      </w:r>
      <w:r w:rsidR="00771C9F" w:rsidRPr="0038608B">
        <w:rPr>
          <w:color w:val="000000"/>
          <w:sz w:val="28"/>
          <w:szCs w:val="28"/>
          <w:lang w:val="en-US"/>
        </w:rPr>
        <w:t>http</w:t>
      </w:r>
      <w:r w:rsidR="00771C9F" w:rsidRPr="00074659">
        <w:rPr>
          <w:color w:val="000000"/>
          <w:sz w:val="28"/>
          <w:szCs w:val="28"/>
        </w:rPr>
        <w:t>://</w:t>
      </w:r>
      <w:r w:rsidR="00771C9F" w:rsidRPr="0038608B">
        <w:rPr>
          <w:color w:val="000000"/>
          <w:sz w:val="28"/>
          <w:szCs w:val="28"/>
          <w:lang w:val="en-US"/>
        </w:rPr>
        <w:t>eur</w:t>
      </w:r>
      <w:r w:rsidR="00771C9F" w:rsidRPr="00074659">
        <w:rPr>
          <w:color w:val="000000"/>
          <w:sz w:val="28"/>
          <w:szCs w:val="28"/>
        </w:rPr>
        <w:t>-</w:t>
      </w:r>
      <w:r w:rsidR="00771C9F" w:rsidRPr="0038608B">
        <w:rPr>
          <w:color w:val="000000"/>
          <w:sz w:val="28"/>
          <w:szCs w:val="28"/>
          <w:lang w:val="en-US"/>
        </w:rPr>
        <w:t>lex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europa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eu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en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treaties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dat</w:t>
      </w:r>
      <w:r w:rsidR="00771C9F" w:rsidRPr="00074659">
        <w:rPr>
          <w:color w:val="000000"/>
          <w:sz w:val="28"/>
          <w:szCs w:val="28"/>
        </w:rPr>
        <w:t>/12003</w:t>
      </w:r>
      <w:r w:rsidR="00771C9F" w:rsidRPr="0038608B">
        <w:rPr>
          <w:color w:val="000000"/>
          <w:sz w:val="28"/>
          <w:szCs w:val="28"/>
          <w:lang w:val="en-US"/>
        </w:rPr>
        <w:t>T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htm</w:t>
      </w:r>
      <w:r w:rsidR="00771C9F" w:rsidRPr="00074659">
        <w:rPr>
          <w:color w:val="000000"/>
          <w:sz w:val="28"/>
          <w:szCs w:val="28"/>
        </w:rPr>
        <w:t>/12003</w:t>
      </w:r>
      <w:r w:rsidR="00771C9F" w:rsidRPr="0038608B">
        <w:rPr>
          <w:color w:val="000000"/>
          <w:sz w:val="28"/>
          <w:szCs w:val="28"/>
          <w:lang w:val="en-US"/>
        </w:rPr>
        <w:t>T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html</w:t>
      </w:r>
      <w:r w:rsidR="00771C9F" w:rsidRPr="00074659">
        <w:rPr>
          <w:color w:val="000000"/>
          <w:sz w:val="28"/>
          <w:szCs w:val="28"/>
        </w:rPr>
        <w:t>. , дата посещения 05.05.2007</w:t>
      </w:r>
    </w:p>
    <w:p w:rsidR="00B072A7" w:rsidRPr="00074659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1.4. </w:t>
      </w:r>
      <w:r w:rsidRPr="0038608B">
        <w:rPr>
          <w:color w:val="000000"/>
          <w:sz w:val="28"/>
          <w:szCs w:val="28"/>
          <w:lang w:val="en-US"/>
        </w:rPr>
        <w:t>EUROPEAN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PARLIAMENT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LEGISLATIVE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RESOLUTION</w:t>
      </w:r>
      <w:r w:rsidR="00771C9F" w:rsidRPr="0038608B">
        <w:rPr>
          <w:color w:val="000000"/>
          <w:sz w:val="28"/>
          <w:szCs w:val="28"/>
        </w:rPr>
        <w:t xml:space="preserve">. </w:t>
      </w:r>
      <w:r w:rsidR="00771C9F" w:rsidRPr="00074659">
        <w:rPr>
          <w:color w:val="000000"/>
          <w:sz w:val="28"/>
          <w:szCs w:val="28"/>
        </w:rPr>
        <w:t xml:space="preserve">Официальный сайт Европейского Союза. [Электронный ресурс]. Режим доступа: </w:t>
      </w:r>
      <w:r w:rsidR="00771C9F" w:rsidRPr="0038608B">
        <w:rPr>
          <w:color w:val="000000"/>
          <w:sz w:val="28"/>
          <w:szCs w:val="28"/>
          <w:lang w:val="en-US"/>
        </w:rPr>
        <w:t>http</w:t>
      </w:r>
      <w:r w:rsidR="00771C9F" w:rsidRPr="00074659">
        <w:rPr>
          <w:color w:val="000000"/>
          <w:sz w:val="28"/>
          <w:szCs w:val="28"/>
        </w:rPr>
        <w:t>://</w:t>
      </w:r>
      <w:r w:rsidR="00771C9F" w:rsidRPr="0038608B">
        <w:rPr>
          <w:color w:val="000000"/>
          <w:sz w:val="28"/>
          <w:szCs w:val="28"/>
          <w:lang w:val="en-US"/>
        </w:rPr>
        <w:t>eur</w:t>
      </w:r>
      <w:r w:rsidR="00771C9F" w:rsidRPr="00074659">
        <w:rPr>
          <w:color w:val="000000"/>
          <w:sz w:val="28"/>
          <w:szCs w:val="28"/>
        </w:rPr>
        <w:t>-</w:t>
      </w:r>
      <w:r w:rsidR="00771C9F" w:rsidRPr="0038608B">
        <w:rPr>
          <w:color w:val="000000"/>
          <w:sz w:val="28"/>
          <w:szCs w:val="28"/>
          <w:lang w:val="en-US"/>
        </w:rPr>
        <w:t>lex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europa</w:t>
      </w:r>
      <w:r w:rsidR="00771C9F" w:rsidRPr="00074659">
        <w:rPr>
          <w:color w:val="000000"/>
          <w:sz w:val="28"/>
          <w:szCs w:val="28"/>
        </w:rPr>
        <w:t>.</w:t>
      </w:r>
      <w:r w:rsidR="00771C9F" w:rsidRPr="0038608B">
        <w:rPr>
          <w:color w:val="000000"/>
          <w:sz w:val="28"/>
          <w:szCs w:val="28"/>
          <w:lang w:val="en-US"/>
        </w:rPr>
        <w:t>eu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en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treaties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dat</w:t>
      </w:r>
      <w:r w:rsidR="00771C9F" w:rsidRPr="00074659">
        <w:rPr>
          <w:color w:val="000000"/>
          <w:sz w:val="28"/>
          <w:szCs w:val="28"/>
        </w:rPr>
        <w:t>/12003</w:t>
      </w:r>
      <w:r w:rsidR="00771C9F" w:rsidRPr="0038608B">
        <w:rPr>
          <w:color w:val="000000"/>
          <w:sz w:val="28"/>
          <w:szCs w:val="28"/>
          <w:lang w:val="en-US"/>
        </w:rPr>
        <w:t>T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htm</w:t>
      </w:r>
      <w:r w:rsidR="00771C9F" w:rsidRPr="00074659">
        <w:rPr>
          <w:color w:val="000000"/>
          <w:sz w:val="28"/>
          <w:szCs w:val="28"/>
        </w:rPr>
        <w:t>/</w:t>
      </w:r>
      <w:r w:rsidR="00771C9F" w:rsidRPr="0038608B">
        <w:rPr>
          <w:color w:val="000000"/>
          <w:sz w:val="28"/>
          <w:szCs w:val="28"/>
          <w:lang w:val="en-US"/>
        </w:rPr>
        <w:t>L</w:t>
      </w:r>
      <w:r w:rsidR="00771C9F" w:rsidRPr="00074659">
        <w:rPr>
          <w:color w:val="000000"/>
          <w:sz w:val="28"/>
          <w:szCs w:val="28"/>
        </w:rPr>
        <w:t>2003236</w:t>
      </w:r>
      <w:r w:rsidR="00771C9F" w:rsidRPr="0038608B">
        <w:rPr>
          <w:color w:val="000000"/>
          <w:sz w:val="28"/>
          <w:szCs w:val="28"/>
          <w:lang w:val="en-US"/>
        </w:rPr>
        <w:t>EN</w:t>
      </w:r>
      <w:r w:rsidR="00771C9F" w:rsidRPr="00074659">
        <w:rPr>
          <w:color w:val="000000"/>
          <w:sz w:val="28"/>
          <w:szCs w:val="28"/>
        </w:rPr>
        <w:t>.001001.</w:t>
      </w:r>
      <w:r w:rsidR="00771C9F" w:rsidRPr="0038608B">
        <w:rPr>
          <w:color w:val="000000"/>
          <w:sz w:val="28"/>
          <w:szCs w:val="28"/>
          <w:lang w:val="en-US"/>
        </w:rPr>
        <w:t>html</w:t>
      </w:r>
      <w:r w:rsidR="00771C9F" w:rsidRPr="00074659">
        <w:rPr>
          <w:color w:val="000000"/>
          <w:sz w:val="28"/>
          <w:szCs w:val="28"/>
        </w:rPr>
        <w:t>. , дата посещения 05.05.2007</w:t>
      </w:r>
    </w:p>
    <w:p w:rsidR="0038608B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 Исследования</w:t>
      </w:r>
    </w:p>
    <w:p w:rsidR="00B072A7" w:rsidRPr="0038608B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2.1. Воронов</w:t>
      </w:r>
      <w:r w:rsidR="00E50304" w:rsidRPr="0038608B">
        <w:rPr>
          <w:color w:val="000000"/>
          <w:sz w:val="28"/>
          <w:szCs w:val="28"/>
        </w:rPr>
        <w:t xml:space="preserve"> Д.И.</w:t>
      </w:r>
      <w:r w:rsidRPr="0038608B">
        <w:rPr>
          <w:color w:val="000000"/>
          <w:sz w:val="28"/>
          <w:szCs w:val="28"/>
        </w:rPr>
        <w:t xml:space="preserve"> Пятое расширение ЕС: судьбоносный выбор. // Мировая экономика и международные отношения. – 2002. - №9. – С.59-69.</w:t>
      </w:r>
    </w:p>
    <w:p w:rsidR="00B072A7" w:rsidRPr="0038608B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2.2. Глинкина С. Расширение Европейского Союза и судьба европейской интеграции. //Мир перемен. – 2004. - №1. – С. 93-108.</w:t>
      </w:r>
    </w:p>
    <w:p w:rsidR="00B072A7" w:rsidRPr="0038608B" w:rsidRDefault="00B072A7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2.3. Дерябин Ю.С. Все ли так спокойно на севере Европы? // Современная Европа. – 2003. - №4. – С.68-80.</w:t>
      </w:r>
    </w:p>
    <w:p w:rsidR="00B412B1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2.4.</w:t>
      </w:r>
      <w:r w:rsidR="00B412B1" w:rsidRPr="0038608B">
        <w:rPr>
          <w:color w:val="000000"/>
          <w:sz w:val="28"/>
          <w:szCs w:val="28"/>
        </w:rPr>
        <w:t xml:space="preserve"> Ланг К. Страны-члены Европейского Союза спустя два года после расширения: уроки и перспективы. // Вестник аналитики. – 2006. - №3. – С.95-105.</w:t>
      </w:r>
    </w:p>
    <w:p w:rsidR="00B412B1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2.5</w:t>
      </w:r>
      <w:r w:rsidR="00B412B1" w:rsidRPr="0038608B">
        <w:rPr>
          <w:color w:val="000000"/>
          <w:sz w:val="28"/>
          <w:szCs w:val="28"/>
        </w:rPr>
        <w:t>. Осадчая Ж.</w:t>
      </w:r>
      <w:r w:rsidR="00E50304" w:rsidRPr="0038608B">
        <w:rPr>
          <w:color w:val="000000"/>
          <w:sz w:val="28"/>
          <w:szCs w:val="28"/>
        </w:rPr>
        <w:t>К.</w:t>
      </w:r>
      <w:r w:rsidR="00B412B1" w:rsidRPr="0038608B">
        <w:rPr>
          <w:color w:val="000000"/>
          <w:sz w:val="28"/>
          <w:szCs w:val="28"/>
        </w:rPr>
        <w:t xml:space="preserve"> Эволюция Евросоюза (в спорах рождается истина). / Осадчая Ж.</w:t>
      </w:r>
      <w:r w:rsidR="00E50304" w:rsidRPr="0038608B">
        <w:rPr>
          <w:color w:val="000000"/>
          <w:sz w:val="28"/>
          <w:szCs w:val="28"/>
        </w:rPr>
        <w:t>К.</w:t>
      </w:r>
      <w:r w:rsidR="00B412B1" w:rsidRPr="0038608B">
        <w:rPr>
          <w:color w:val="000000"/>
          <w:sz w:val="28"/>
          <w:szCs w:val="28"/>
        </w:rPr>
        <w:t>, Лобанов К.</w:t>
      </w:r>
      <w:r w:rsidR="00E50304" w:rsidRPr="0038608B">
        <w:rPr>
          <w:color w:val="000000"/>
          <w:sz w:val="28"/>
          <w:szCs w:val="28"/>
        </w:rPr>
        <w:t>Н.</w:t>
      </w:r>
      <w:r w:rsidR="00B412B1" w:rsidRPr="0038608B">
        <w:rPr>
          <w:color w:val="000000"/>
          <w:sz w:val="28"/>
          <w:szCs w:val="28"/>
        </w:rPr>
        <w:t xml:space="preserve"> // Современная Европа. - №1. – С. 27-43.</w:t>
      </w:r>
    </w:p>
    <w:p w:rsidR="00B412B1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2.6</w:t>
      </w:r>
      <w:r w:rsidR="00B412B1" w:rsidRPr="0038608B">
        <w:rPr>
          <w:color w:val="000000"/>
          <w:sz w:val="28"/>
          <w:szCs w:val="28"/>
        </w:rPr>
        <w:t>. Пенке Ю. Восточная политика расширенного ЕС: политика «соседства» или восточное измерение? // Европа. – 2005. - Вып.5. – С.130-142.</w:t>
      </w:r>
    </w:p>
    <w:p w:rsidR="00B412B1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2.7</w:t>
      </w:r>
      <w:r w:rsidR="00B412B1" w:rsidRPr="0038608B">
        <w:rPr>
          <w:color w:val="000000"/>
          <w:sz w:val="28"/>
          <w:szCs w:val="28"/>
        </w:rPr>
        <w:t>. Поздняков В.</w:t>
      </w:r>
      <w:r w:rsidR="00026B82" w:rsidRPr="0038608B">
        <w:rPr>
          <w:color w:val="000000"/>
          <w:sz w:val="28"/>
          <w:szCs w:val="28"/>
        </w:rPr>
        <w:t>Н.</w:t>
      </w:r>
      <w:r w:rsidR="00B412B1" w:rsidRPr="0038608B">
        <w:rPr>
          <w:color w:val="000000"/>
          <w:sz w:val="28"/>
          <w:szCs w:val="28"/>
        </w:rPr>
        <w:t xml:space="preserve"> Новые страны на пороге ЕС. / Поздняков В.</w:t>
      </w:r>
      <w:r w:rsidR="00026B82" w:rsidRPr="0038608B">
        <w:rPr>
          <w:color w:val="000000"/>
          <w:sz w:val="28"/>
          <w:szCs w:val="28"/>
        </w:rPr>
        <w:t>Н.</w:t>
      </w:r>
      <w:r w:rsidR="00B412B1" w:rsidRPr="0038608B">
        <w:rPr>
          <w:color w:val="000000"/>
          <w:sz w:val="28"/>
          <w:szCs w:val="28"/>
        </w:rPr>
        <w:t>, Ганжа С.</w:t>
      </w:r>
      <w:r w:rsidR="00026B82" w:rsidRPr="0038608B">
        <w:rPr>
          <w:color w:val="000000"/>
          <w:sz w:val="28"/>
          <w:szCs w:val="28"/>
        </w:rPr>
        <w:t>П.</w:t>
      </w:r>
      <w:r w:rsidR="00B412B1" w:rsidRPr="0038608B">
        <w:rPr>
          <w:color w:val="000000"/>
          <w:sz w:val="28"/>
          <w:szCs w:val="28"/>
        </w:rPr>
        <w:t xml:space="preserve"> // Международная жизнь. – 1999. - №3. – С.37-44.</w:t>
      </w:r>
    </w:p>
    <w:p w:rsidR="00CC2CDA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2.8. Самуэлс Ак. Евро – на пути к глобализации. / Самуэлс Ак., Рамлоган П.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>//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>Финансы и развитие. – 2007. - №3. – С. 37</w:t>
      </w:r>
      <w:r w:rsidR="00DD14CC" w:rsidRPr="0038608B">
        <w:rPr>
          <w:color w:val="000000"/>
          <w:sz w:val="28"/>
          <w:szCs w:val="28"/>
        </w:rPr>
        <w:t>-46</w:t>
      </w:r>
    </w:p>
    <w:p w:rsidR="00B412B1" w:rsidRPr="0038608B" w:rsidRDefault="00B412B1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2.9. Сеитова Д.М. Процесс расширения Европейского Союза: опыт и проблемы. // Диалог культур и цивилизаций. – 2005. – С.185-187.</w:t>
      </w:r>
    </w:p>
    <w:p w:rsidR="00B412B1" w:rsidRPr="0038608B" w:rsidRDefault="00B412B1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2.10. Стровский Л.Е. Расширение ЕС: рождение новых проблем. // Уральский вестник международных исследований. – 2005. – Вып.3. – С.99-104.</w:t>
      </w:r>
    </w:p>
    <w:p w:rsidR="00B412B1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2.11. Ханкель В. Европа под знаком евро и расширения на восток. // Дневник. Алтай, школы политических исследований. – 2001. - №13/14. – С.29-36.</w:t>
      </w:r>
    </w:p>
    <w:p w:rsidR="00CC2CDA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2.12. Хубель Х. Балтийский субрегион как лаборатория будущей европейской архитектуры. // </w:t>
      </w:r>
      <w:r w:rsidRPr="0038608B">
        <w:rPr>
          <w:color w:val="000000"/>
          <w:sz w:val="28"/>
          <w:szCs w:val="28"/>
          <w:lang w:val="en-US"/>
        </w:rPr>
        <w:t>Internationale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politik</w:t>
      </w:r>
      <w:r w:rsidRPr="0038608B">
        <w:rPr>
          <w:color w:val="000000"/>
          <w:sz w:val="28"/>
          <w:szCs w:val="28"/>
        </w:rPr>
        <w:t>. – 2002. – «10. – С.43-49.</w:t>
      </w:r>
    </w:p>
    <w:p w:rsidR="00CC2CDA" w:rsidRPr="0038608B" w:rsidRDefault="00CC2CDA" w:rsidP="00074659">
      <w:pPr>
        <w:widowControl w:val="0"/>
        <w:spacing w:line="360" w:lineRule="auto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2.</w:t>
      </w:r>
      <w:r w:rsidR="00771C9F" w:rsidRPr="0038608B">
        <w:rPr>
          <w:color w:val="000000"/>
          <w:sz w:val="28"/>
          <w:szCs w:val="28"/>
        </w:rPr>
        <w:t>13.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 xml:space="preserve">Хьюджс К. Можно ли интегрировать в ЕС государства Центральной и Восточной Европы? / Хьюджс К., Грейб Х., Смит Эд. // </w:t>
      </w:r>
      <w:r w:rsidRPr="0038608B">
        <w:rPr>
          <w:color w:val="000000"/>
          <w:sz w:val="28"/>
          <w:szCs w:val="28"/>
          <w:lang w:val="en-US"/>
        </w:rPr>
        <w:t>Internationale</w:t>
      </w:r>
      <w:r w:rsidRP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  <w:lang w:val="en-US"/>
        </w:rPr>
        <w:t>politik</w:t>
      </w:r>
      <w:r w:rsidRPr="0038608B">
        <w:rPr>
          <w:color w:val="000000"/>
          <w:sz w:val="28"/>
          <w:szCs w:val="28"/>
        </w:rPr>
        <w:t>. – 1999. - №4. – С.58-70.</w:t>
      </w:r>
    </w:p>
    <w:p w:rsidR="00B072A7" w:rsidRPr="0038608B" w:rsidRDefault="00B072A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44C" w:rsidRPr="00074659" w:rsidRDefault="00C63B7B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074659">
        <w:rPr>
          <w:b/>
          <w:bCs/>
          <w:color w:val="000000"/>
          <w:sz w:val="28"/>
          <w:szCs w:val="28"/>
        </w:rPr>
        <w:t>Приложение 1</w:t>
      </w:r>
    </w:p>
    <w:p w:rsidR="0059644C" w:rsidRPr="0038608B" w:rsidRDefault="0059644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44C" w:rsidRPr="0038608B" w:rsidRDefault="0059644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Официальные заявки 10 стран Центральной и Восточной Европы на вступление в Европейский Союз.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397"/>
      </w:tblGrid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Страна ЦВЕ.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Дата подачи заявки.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1. Венгрия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март 1994 года</w:t>
            </w:r>
          </w:p>
        </w:tc>
      </w:tr>
      <w:tr w:rsidR="0059644C" w:rsidRPr="004D0703" w:rsidTr="004D0703">
        <w:trPr>
          <w:trHeight w:val="294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2. Польша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апрель 1994 года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3. Чехия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январь 1995 года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4. Словакия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июнь 1995 года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5. Латвия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октябрь 1995 года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6. Эстония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ноябрь 1995 года</w:t>
            </w:r>
          </w:p>
        </w:tc>
      </w:tr>
      <w:tr w:rsidR="0059644C" w:rsidRPr="004D0703" w:rsidTr="004D0703">
        <w:trPr>
          <w:trHeight w:val="279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7. Литва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декабрь 1995 года</w:t>
            </w:r>
          </w:p>
        </w:tc>
      </w:tr>
      <w:tr w:rsidR="0059644C" w:rsidRPr="004D0703" w:rsidTr="004D0703">
        <w:trPr>
          <w:trHeight w:val="294"/>
        </w:trPr>
        <w:tc>
          <w:tcPr>
            <w:tcW w:w="3396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8. Словения</w:t>
            </w:r>
          </w:p>
        </w:tc>
        <w:tc>
          <w:tcPr>
            <w:tcW w:w="3397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июнь 1996 года</w:t>
            </w:r>
          </w:p>
        </w:tc>
      </w:tr>
    </w:tbl>
    <w:p w:rsidR="0059644C" w:rsidRPr="0038608B" w:rsidRDefault="0059644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0AD7" w:rsidRPr="0038608B" w:rsidRDefault="004B0AD7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Сост. по: Поздняков В.</w:t>
      </w:r>
      <w:r w:rsidR="00026B82" w:rsidRPr="0038608B">
        <w:rPr>
          <w:color w:val="000000"/>
          <w:sz w:val="28"/>
          <w:szCs w:val="28"/>
        </w:rPr>
        <w:t>Н.</w:t>
      </w:r>
      <w:r w:rsidRPr="0038608B">
        <w:rPr>
          <w:color w:val="000000"/>
          <w:sz w:val="28"/>
          <w:szCs w:val="28"/>
        </w:rPr>
        <w:t xml:space="preserve"> Новые страны на пороге Европейского Союза.</w:t>
      </w:r>
      <w:r w:rsidR="00026B82" w:rsidRPr="0038608B">
        <w:rPr>
          <w:color w:val="000000"/>
          <w:sz w:val="28"/>
          <w:szCs w:val="28"/>
        </w:rPr>
        <w:t xml:space="preserve"> / Поздняков В.Н., Ганжа С.П.</w:t>
      </w:r>
      <w:r w:rsidRPr="0038608B">
        <w:rPr>
          <w:color w:val="000000"/>
          <w:sz w:val="28"/>
          <w:szCs w:val="28"/>
        </w:rPr>
        <w:t xml:space="preserve"> // Международная жизнь. – 1999. - №3.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44C" w:rsidRPr="00074659" w:rsidRDefault="0059644C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074659" w:rsidRPr="00074659">
        <w:rPr>
          <w:b/>
          <w:bCs/>
          <w:color w:val="000000"/>
          <w:sz w:val="28"/>
          <w:szCs w:val="28"/>
        </w:rPr>
        <w:t>Приложение 2</w:t>
      </w:r>
    </w:p>
    <w:p w:rsidR="0059644C" w:rsidRPr="0038608B" w:rsidRDefault="0059644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44C" w:rsidRPr="0038608B" w:rsidRDefault="0059644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Основные показатели развития стран-членов ЕС-25 и доля их голосов в расширенном ЕС(2000г.</w:t>
      </w:r>
      <w:r w:rsidR="00074659">
        <w:rPr>
          <w:color w:val="000000"/>
          <w:sz w:val="28"/>
          <w:szCs w:val="28"/>
        </w:rPr>
        <w:t>) в случае его нереформирования</w:t>
      </w:r>
    </w:p>
    <w:tbl>
      <w:tblPr>
        <w:tblW w:w="91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1339"/>
        <w:gridCol w:w="1224"/>
        <w:gridCol w:w="1329"/>
        <w:gridCol w:w="1168"/>
      </w:tblGrid>
      <w:tr w:rsidR="0059644C" w:rsidRPr="004D0703" w:rsidTr="004D0703">
        <w:trPr>
          <w:trHeight w:val="555"/>
        </w:trPr>
        <w:tc>
          <w:tcPr>
            <w:tcW w:w="4080" w:type="dxa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Группа стран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D0703">
              <w:rPr>
                <w:color w:val="000000"/>
                <w:sz w:val="20"/>
                <w:szCs w:val="20"/>
              </w:rPr>
              <w:t>Население (доля,</w:t>
            </w:r>
            <w:r w:rsidRPr="004D0703">
              <w:rPr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В ВВП ЕС (доля,</w:t>
            </w:r>
            <w:r w:rsidRPr="004D0703">
              <w:rPr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В бюджете ЕС (доля,</w:t>
            </w:r>
            <w:r w:rsidRPr="004D0703">
              <w:rPr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Голосов (доля,</w:t>
            </w:r>
            <w:r w:rsidRPr="004D0703">
              <w:rPr>
                <w:color w:val="000000"/>
                <w:sz w:val="20"/>
                <w:szCs w:val="20"/>
                <w:lang w:val="en-US"/>
              </w:rPr>
              <w:t>%)</w:t>
            </w:r>
          </w:p>
        </w:tc>
      </w:tr>
      <w:tr w:rsidR="0059644C" w:rsidRPr="004D0703" w:rsidTr="004D0703">
        <w:trPr>
          <w:trHeight w:val="293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Основные плательщики в бюджет ЕС (Германия, Нидерланды, Швеция, Австрия)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23,94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32,24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17,97</w:t>
            </w:r>
          </w:p>
        </w:tc>
      </w:tr>
      <w:tr w:rsidR="0059644C" w:rsidRPr="004D0703" w:rsidTr="004D0703">
        <w:trPr>
          <w:trHeight w:val="278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Страны среднего уровня взносов в бюджет ЕС (Дания, Франция, Италия, Финляндия, Великобритания)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38,65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49,13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46,59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27,54</w:t>
            </w:r>
          </w:p>
        </w:tc>
      </w:tr>
      <w:tr w:rsidR="0059644C" w:rsidRPr="004D0703" w:rsidTr="004D0703">
        <w:trPr>
          <w:trHeight w:val="278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Страны-члены ЕС-15 со средним уровнем поддержки из фондов ЕС (Бельгия, Испания, Ирландия, Португалия)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16,81</w:t>
            </w:r>
          </w:p>
        </w:tc>
      </w:tr>
      <w:tr w:rsidR="0059644C" w:rsidRPr="004D0703" w:rsidTr="004D0703">
        <w:trPr>
          <w:trHeight w:val="278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Страны-члены ЕС-15 с высоким уровнем поддержки из фондов ЕС (Греция, Люксембург)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4,64</w:t>
            </w:r>
          </w:p>
        </w:tc>
      </w:tr>
      <w:tr w:rsidR="0059644C" w:rsidRPr="004D0703" w:rsidTr="004D0703">
        <w:trPr>
          <w:trHeight w:val="278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Новые члены, претендующие на средний уровень поддержки из фондов ЕС (Кипр, Чехия, Латвия, Мальта, Словения, Словакия)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9,86</w:t>
            </w:r>
          </w:p>
        </w:tc>
      </w:tr>
      <w:tr w:rsidR="0059644C" w:rsidRPr="004D0703" w:rsidTr="004D0703">
        <w:trPr>
          <w:trHeight w:val="293"/>
        </w:trPr>
        <w:tc>
          <w:tcPr>
            <w:tcW w:w="4080" w:type="dxa"/>
            <w:shd w:val="clear" w:color="auto" w:fill="auto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Новые члены, претендующие на высокий уровень поддержки из фондов ЕС (Польша, Эстония, Венгрия, Литва, Болгария, Румыния)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17,49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644C" w:rsidRPr="004D0703" w:rsidRDefault="0059644C" w:rsidP="004D070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D0703">
              <w:rPr>
                <w:color w:val="000000"/>
                <w:sz w:val="20"/>
                <w:szCs w:val="20"/>
              </w:rPr>
              <w:t>21,45</w:t>
            </w:r>
          </w:p>
        </w:tc>
      </w:tr>
    </w:tbl>
    <w:p w:rsidR="00AC2C24" w:rsidRPr="0038608B" w:rsidRDefault="00AC2C2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44C" w:rsidRPr="0038608B" w:rsidRDefault="00AC2C2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Источник: </w:t>
      </w:r>
      <w:r w:rsidR="006B0265" w:rsidRPr="0038608B">
        <w:rPr>
          <w:color w:val="000000"/>
          <w:sz w:val="28"/>
          <w:szCs w:val="28"/>
        </w:rPr>
        <w:t>Глинкина С. Расширение Европейского Союза и судьба европейской интеграции. //Мир перемен. – 2004. - №1.</w:t>
      </w:r>
    </w:p>
    <w:p w:rsidR="00B03CE4" w:rsidRPr="00074659" w:rsidRDefault="00B03CE4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074659" w:rsidRPr="00074659">
        <w:rPr>
          <w:b/>
          <w:bCs/>
          <w:color w:val="000000"/>
          <w:sz w:val="28"/>
          <w:szCs w:val="28"/>
        </w:rPr>
        <w:t>Приложение 3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CE4" w:rsidRPr="0038608B" w:rsidRDefault="00B03CE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Бюджетны</w:t>
      </w:r>
      <w:r w:rsidR="00074659">
        <w:rPr>
          <w:color w:val="000000"/>
          <w:sz w:val="28"/>
          <w:szCs w:val="28"/>
        </w:rPr>
        <w:t>й дефицит новых стран-членов ЕС</w:t>
      </w:r>
    </w:p>
    <w:tbl>
      <w:tblPr>
        <w:tblW w:w="4184" w:type="pct"/>
        <w:tblInd w:w="1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1"/>
        <w:gridCol w:w="1099"/>
        <w:gridCol w:w="1098"/>
        <w:gridCol w:w="1098"/>
        <w:gridCol w:w="1098"/>
        <w:gridCol w:w="1098"/>
        <w:gridCol w:w="1097"/>
      </w:tblGrid>
      <w:tr w:rsidR="00B03CE4" w:rsidRPr="00074659" w:rsidTr="00074659">
        <w:trPr>
          <w:tblHeader/>
        </w:trPr>
        <w:tc>
          <w:tcPr>
            <w:tcW w:w="897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Государство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84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83" w:type="pct"/>
            <w:tcBorders>
              <w:top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Эстония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-0.3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-4.4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-9.3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-5.9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-4.9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-4.3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-1.6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-2.2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-2.0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Литва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-2.6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-2.1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-1.4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-2.8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-2.6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-3.5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-3.6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-4.1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-6.0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-4.5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-4.5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-6.4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-6.4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-12.9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-5.9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-5.1</w:t>
            </w:r>
          </w:p>
        </w:tc>
      </w:tr>
      <w:tr w:rsidR="00B03CE4" w:rsidRPr="00074659" w:rsidTr="00074659">
        <w:tc>
          <w:tcPr>
            <w:tcW w:w="897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-12.3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-6.0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-5.7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-3.6</w:t>
            </w:r>
          </w:p>
        </w:tc>
        <w:tc>
          <w:tcPr>
            <w:tcW w:w="684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-4.1</w:t>
            </w:r>
          </w:p>
        </w:tc>
        <w:tc>
          <w:tcPr>
            <w:tcW w:w="683" w:type="pct"/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-3.9</w:t>
            </w:r>
          </w:p>
        </w:tc>
      </w:tr>
      <w:tr w:rsidR="00B03CE4" w:rsidRPr="00074659" w:rsidTr="00074659">
        <w:tc>
          <w:tcPr>
            <w:tcW w:w="897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684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-3.0</w:t>
            </w:r>
          </w:p>
        </w:tc>
        <w:tc>
          <w:tcPr>
            <w:tcW w:w="684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684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-1.9</w:t>
            </w:r>
          </w:p>
        </w:tc>
        <w:tc>
          <w:tcPr>
            <w:tcW w:w="684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-1.8</w:t>
            </w:r>
          </w:p>
        </w:tc>
        <w:tc>
          <w:tcPr>
            <w:tcW w:w="684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-1.7</w:t>
            </w:r>
          </w:p>
        </w:tc>
        <w:tc>
          <w:tcPr>
            <w:tcW w:w="683" w:type="pct"/>
            <w:tcBorders>
              <w:bottom w:val="single" w:sz="2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-1.8</w:t>
            </w:r>
          </w:p>
        </w:tc>
      </w:tr>
    </w:tbl>
    <w:p w:rsidR="00B03CE4" w:rsidRPr="0038608B" w:rsidRDefault="00B03CE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D92" w:rsidRPr="0038608B" w:rsidRDefault="00180D9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Источник:</w:t>
      </w:r>
      <w:r w:rsidR="000632C0" w:rsidRPr="0038608B">
        <w:rPr>
          <w:color w:val="000000"/>
          <w:sz w:val="28"/>
          <w:szCs w:val="28"/>
        </w:rPr>
        <w:t xml:space="preserve"> Официальный сайт Европейского Союза. [Электронный ресурс]. Режим доступа:</w:t>
      </w:r>
      <w:r w:rsidR="0038608B">
        <w:rPr>
          <w:color w:val="000000"/>
          <w:sz w:val="28"/>
          <w:szCs w:val="28"/>
        </w:rPr>
        <w:t xml:space="preserve"> </w:t>
      </w:r>
      <w:r w:rsidRPr="0038608B">
        <w:rPr>
          <w:color w:val="000000"/>
          <w:sz w:val="28"/>
          <w:szCs w:val="28"/>
        </w:rPr>
        <w:t>http://www.europa.eu/scadplus/leg/en/lvb/l25066.htm дата посещения 7.05.2007</w:t>
      </w:r>
    </w:p>
    <w:p w:rsidR="00180D92" w:rsidRPr="0038608B" w:rsidRDefault="00180D9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CE4" w:rsidRPr="00074659" w:rsidRDefault="00B03CE4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Pr="00074659">
        <w:rPr>
          <w:b/>
          <w:bCs/>
          <w:color w:val="000000"/>
          <w:sz w:val="28"/>
          <w:szCs w:val="28"/>
        </w:rPr>
        <w:t>Приложен</w:t>
      </w:r>
      <w:r w:rsidR="00074659" w:rsidRPr="00074659">
        <w:rPr>
          <w:b/>
          <w:bCs/>
          <w:color w:val="000000"/>
          <w:sz w:val="28"/>
          <w:szCs w:val="28"/>
        </w:rPr>
        <w:t>ие 4</w:t>
      </w:r>
    </w:p>
    <w:p w:rsidR="00B03CE4" w:rsidRPr="0038608B" w:rsidRDefault="00B03CE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CE4" w:rsidRPr="0038608B" w:rsidRDefault="00B03CE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Государстве</w:t>
      </w:r>
      <w:r w:rsidR="00074659">
        <w:rPr>
          <w:color w:val="000000"/>
          <w:sz w:val="28"/>
          <w:szCs w:val="28"/>
        </w:rPr>
        <w:t>нный долг новых стран-членов ЕС</w:t>
      </w:r>
    </w:p>
    <w:tbl>
      <w:tblPr>
        <w:tblW w:w="4248" w:type="pct"/>
        <w:tblInd w:w="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101"/>
        <w:gridCol w:w="1099"/>
        <w:gridCol w:w="1099"/>
        <w:gridCol w:w="1099"/>
        <w:gridCol w:w="1097"/>
        <w:gridCol w:w="1097"/>
      </w:tblGrid>
      <w:tr w:rsidR="00B03CE4" w:rsidRPr="00074659" w:rsidTr="00074659">
        <w:trPr>
          <w:tblHeader/>
        </w:trPr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Государство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Эстония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5.3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55.4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53.5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57.1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59.0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58.7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58.0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Латвия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13.9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15.5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15.6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16.0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16.1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Литва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24.3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23.4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21.9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23.2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Польша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36.6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36.7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41.2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45.4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49.1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50.3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25.2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28.9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37.6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40.6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42.4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Словакия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49.9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48.7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43.3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42.8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46.1</w:t>
            </w:r>
          </w:p>
        </w:tc>
      </w:tr>
      <w:tr w:rsidR="00B03CE4" w:rsidRPr="00074659" w:rsidTr="00074659">
        <w:tc>
          <w:tcPr>
            <w:tcW w:w="95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Словения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26.7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26.9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27.8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27.1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CE4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28.3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80D92" w:rsidRPr="00074659" w:rsidRDefault="00B03CE4" w:rsidP="0007465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74659">
              <w:rPr>
                <w:color w:val="000000"/>
                <w:sz w:val="20"/>
                <w:szCs w:val="20"/>
              </w:rPr>
              <w:t>28.2</w:t>
            </w:r>
          </w:p>
        </w:tc>
      </w:tr>
    </w:tbl>
    <w:p w:rsidR="000E576C" w:rsidRPr="0038608B" w:rsidRDefault="000E576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76C" w:rsidRPr="0038608B" w:rsidRDefault="000E576C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Источник: </w:t>
      </w:r>
      <w:r w:rsidR="00771C9F" w:rsidRPr="0038608B">
        <w:rPr>
          <w:color w:val="000000"/>
          <w:sz w:val="28"/>
          <w:szCs w:val="28"/>
        </w:rPr>
        <w:t xml:space="preserve">Официальный сайт Европейского Союза. [Электронный ресурс]. Режим доступа: </w:t>
      </w:r>
      <w:r w:rsidRPr="0038608B">
        <w:rPr>
          <w:color w:val="000000"/>
          <w:sz w:val="28"/>
          <w:szCs w:val="28"/>
        </w:rPr>
        <w:t>http://www.europa.eu/scadplus/leg/en/lvb/l25066.htm дата посещения 7.05.2007</w:t>
      </w:r>
    </w:p>
    <w:p w:rsidR="00074659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CD2" w:rsidRPr="00074659" w:rsidRDefault="006F1CD2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="00074659" w:rsidRPr="00074659">
        <w:rPr>
          <w:b/>
          <w:bCs/>
          <w:color w:val="000000"/>
          <w:sz w:val="28"/>
          <w:szCs w:val="28"/>
        </w:rPr>
        <w:t>Приложения 5</w:t>
      </w:r>
    </w:p>
    <w:p w:rsidR="00074659" w:rsidRPr="0038608B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9F" w:rsidRPr="0038608B" w:rsidRDefault="00771C9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Карта ЕС</w:t>
      </w:r>
    </w:p>
    <w:p w:rsidR="00771C9F" w:rsidRPr="0038608B" w:rsidRDefault="00B23CEE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67.25pt">
            <v:imagedata r:id="rId7" o:title=""/>
          </v:shape>
        </w:pict>
      </w:r>
    </w:p>
    <w:p w:rsidR="00771C9F" w:rsidRPr="0038608B" w:rsidRDefault="00771C9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Синим цветом изображены государства-члены ЕС до 1 мая 200 года</w:t>
      </w:r>
    </w:p>
    <w:p w:rsidR="00771C9F" w:rsidRPr="0038608B" w:rsidRDefault="00771C9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Красным цветом – государства, вступившие в ЕС 1 мая 2004 года</w:t>
      </w:r>
    </w:p>
    <w:p w:rsidR="000632C0" w:rsidRPr="0038608B" w:rsidRDefault="00771C9F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Зеленым цветом – государства, претендовавшие на вступление в ЕС 1 января 2007 года</w:t>
      </w:r>
    </w:p>
    <w:p w:rsidR="000632C0" w:rsidRPr="0038608B" w:rsidRDefault="000632C0" w:rsidP="0038608B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 xml:space="preserve">Источник: Официальный сайт Европейского Союза. [Электронный ресурс]. Режим доступа: </w:t>
      </w:r>
      <w:r w:rsidRPr="00074659">
        <w:rPr>
          <w:color w:val="000000"/>
          <w:sz w:val="28"/>
          <w:szCs w:val="28"/>
        </w:rPr>
        <w:t>http://www.europa.eu/scadplus/leg/en/lvb/e50007.htm</w:t>
      </w:r>
      <w:r w:rsidRPr="0038608B">
        <w:rPr>
          <w:color w:val="000000"/>
          <w:sz w:val="28"/>
          <w:szCs w:val="28"/>
        </w:rPr>
        <w:t>. , дата посещения 03.05.2007</w:t>
      </w:r>
    </w:p>
    <w:p w:rsidR="000632C0" w:rsidRPr="0038608B" w:rsidRDefault="000632C0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76C" w:rsidRPr="00074659" w:rsidRDefault="00E63AE4" w:rsidP="000746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br w:type="page"/>
      </w:r>
      <w:r w:rsidRPr="00074659">
        <w:rPr>
          <w:b/>
          <w:bCs/>
          <w:color w:val="000000"/>
          <w:sz w:val="28"/>
          <w:szCs w:val="28"/>
        </w:rPr>
        <w:t>СПИСОК СОКРАЩЕНИЙ</w:t>
      </w:r>
    </w:p>
    <w:p w:rsidR="00074659" w:rsidRPr="0038608B" w:rsidRDefault="00074659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6B4" w:rsidRPr="0038608B" w:rsidRDefault="009D66B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ЕС – Европейский Союз</w:t>
      </w:r>
    </w:p>
    <w:p w:rsidR="009D66B4" w:rsidRPr="0038608B" w:rsidRDefault="009D66B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ЕЦБ – Европейский Центральный Банк</w:t>
      </w:r>
    </w:p>
    <w:p w:rsidR="009D66B4" w:rsidRPr="0038608B" w:rsidRDefault="009D66B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ИТТ - Информационные и телекоммуникационные технологии</w:t>
      </w:r>
    </w:p>
    <w:p w:rsidR="009D66B4" w:rsidRPr="0038608B" w:rsidRDefault="009D66B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ЦВЕ – Центральная и Восточная Европа</w:t>
      </w:r>
    </w:p>
    <w:p w:rsidR="009D66B4" w:rsidRPr="0038608B" w:rsidRDefault="009D66B4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</w:rPr>
        <w:t>ЭВС – Экономический и валютный союз</w:t>
      </w:r>
    </w:p>
    <w:p w:rsidR="006F1CD2" w:rsidRPr="0038608B" w:rsidRDefault="006F1CD2" w:rsidP="003860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08B">
        <w:rPr>
          <w:color w:val="000000"/>
          <w:sz w:val="28"/>
          <w:szCs w:val="28"/>
          <w:lang w:val="en-US"/>
        </w:rPr>
        <w:t>ERM</w:t>
      </w:r>
      <w:r w:rsidRPr="0038608B">
        <w:rPr>
          <w:color w:val="000000"/>
          <w:sz w:val="28"/>
          <w:szCs w:val="28"/>
        </w:rPr>
        <w:t>-</w:t>
      </w:r>
      <w:r w:rsidRPr="0038608B">
        <w:rPr>
          <w:color w:val="000000"/>
          <w:sz w:val="28"/>
          <w:szCs w:val="28"/>
          <w:lang w:val="en-US"/>
        </w:rPr>
        <w:t>II</w:t>
      </w:r>
      <w:r w:rsidRPr="0038608B">
        <w:rPr>
          <w:color w:val="000000"/>
          <w:sz w:val="28"/>
          <w:szCs w:val="28"/>
        </w:rPr>
        <w:t xml:space="preserve"> - Механизм совместного регулирования колебаний валютных курсов</w:t>
      </w:r>
      <w:bookmarkStart w:id="0" w:name="_GoBack"/>
      <w:bookmarkEnd w:id="0"/>
    </w:p>
    <w:sectPr w:rsidR="006F1CD2" w:rsidRPr="0038608B" w:rsidSect="0038608B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03" w:rsidRDefault="004D0703">
      <w:r>
        <w:separator/>
      </w:r>
    </w:p>
  </w:endnote>
  <w:endnote w:type="continuationSeparator" w:id="0">
    <w:p w:rsidR="004D0703" w:rsidRDefault="004D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03" w:rsidRDefault="004D0703">
      <w:r>
        <w:separator/>
      </w:r>
    </w:p>
  </w:footnote>
  <w:footnote w:type="continuationSeparator" w:id="0">
    <w:p w:rsidR="004D0703" w:rsidRDefault="004D0703">
      <w:r>
        <w:continuationSeparator/>
      </w:r>
    </w:p>
  </w:footnote>
  <w:footnote w:id="1">
    <w:p w:rsidR="004D0703" w:rsidRDefault="00771C9F" w:rsidP="0038608B">
      <w:r w:rsidRPr="0038608B">
        <w:rPr>
          <w:rStyle w:val="a8"/>
          <w:sz w:val="20"/>
          <w:szCs w:val="20"/>
        </w:rPr>
        <w:footnoteRef/>
      </w:r>
      <w:r w:rsidRPr="0038608B">
        <w:rPr>
          <w:sz w:val="20"/>
          <w:szCs w:val="20"/>
        </w:rPr>
        <w:t xml:space="preserve"> Официальный сайт Европейского Союза. [Электронный ресурс]. Режим доступа: http://eur-lex.europa.eu/en/treaties/dat/12003T/htm/L2003236EN.001001.htm</w:t>
      </w:r>
      <w:r w:rsidRPr="0038608B">
        <w:rPr>
          <w:sz w:val="20"/>
          <w:szCs w:val="20"/>
          <w:lang w:val="en-US"/>
        </w:rPr>
        <w:t>l</w:t>
      </w:r>
      <w:r w:rsidRPr="0038608B">
        <w:rPr>
          <w:sz w:val="20"/>
          <w:szCs w:val="20"/>
        </w:rPr>
        <w:t>. , дата посещения 05.05.2007</w:t>
      </w:r>
    </w:p>
  </w:footnote>
  <w:footnote w:id="2">
    <w:p w:rsidR="004D0703" w:rsidRDefault="00771C9F" w:rsidP="0038608B">
      <w:r w:rsidRPr="0038608B">
        <w:rPr>
          <w:rStyle w:val="a8"/>
          <w:sz w:val="20"/>
          <w:szCs w:val="20"/>
        </w:rPr>
        <w:footnoteRef/>
      </w:r>
      <w:r w:rsidRPr="0038608B">
        <w:rPr>
          <w:sz w:val="20"/>
          <w:szCs w:val="20"/>
        </w:rPr>
        <w:t xml:space="preserve"> Европейские исследования. [Электронный ресурс]. Режим доступа: http://hist.asu.ru/aes/99_2.pdf. , дата посещения 31.04.2007</w:t>
      </w:r>
    </w:p>
  </w:footnote>
  <w:footnote w:id="3">
    <w:p w:rsidR="004D0703" w:rsidRDefault="00771C9F" w:rsidP="0038608B">
      <w:r w:rsidRPr="0038608B">
        <w:rPr>
          <w:rStyle w:val="a8"/>
          <w:sz w:val="20"/>
          <w:szCs w:val="20"/>
        </w:rPr>
        <w:footnoteRef/>
      </w:r>
      <w:r w:rsidRPr="0038608B">
        <w:rPr>
          <w:sz w:val="20"/>
          <w:szCs w:val="20"/>
        </w:rPr>
        <w:t xml:space="preserve"> Официальный сайт Европейского Союза. [Электронный ресурс]. Режим доступа: http://eur-lex.europa.eu/en/treaties/dat/12003T/htm/12003T.html. , дата посещения 05.05.2007</w:t>
      </w:r>
    </w:p>
  </w:footnote>
  <w:footnote w:id="4">
    <w:p w:rsidR="004D0703" w:rsidRDefault="00771C9F">
      <w:pPr>
        <w:pStyle w:val="a6"/>
      </w:pPr>
      <w:r w:rsidRPr="0038608B">
        <w:rPr>
          <w:rStyle w:val="a8"/>
        </w:rPr>
        <w:footnoteRef/>
      </w:r>
      <w:r w:rsidRPr="0038608B">
        <w:t xml:space="preserve"> Официальный сайт Европейского Союза. [Электронный ресурс]. Режим доступа: http://www.europa.eu/scadplus/leg/en/lvb/e50004.htm. , дата посещения 03.05.2007</w:t>
      </w:r>
    </w:p>
  </w:footnote>
  <w:footnote w:id="5">
    <w:p w:rsidR="004D0703" w:rsidRDefault="00771C9F" w:rsidP="0038608B">
      <w:pPr>
        <w:spacing w:line="360" w:lineRule="auto"/>
        <w:ind w:firstLine="360"/>
        <w:jc w:val="both"/>
      </w:pPr>
      <w:r w:rsidRPr="0038608B">
        <w:rPr>
          <w:rStyle w:val="a8"/>
          <w:sz w:val="20"/>
          <w:szCs w:val="20"/>
        </w:rPr>
        <w:footnoteRef/>
      </w:r>
      <w:r w:rsidRPr="0038608B">
        <w:rPr>
          <w:sz w:val="20"/>
          <w:szCs w:val="20"/>
        </w:rPr>
        <w:t xml:space="preserve"> Ж.К.</w:t>
      </w:r>
      <w:r w:rsidR="0038608B">
        <w:rPr>
          <w:sz w:val="20"/>
          <w:szCs w:val="20"/>
        </w:rPr>
        <w:t xml:space="preserve"> </w:t>
      </w:r>
      <w:r w:rsidRPr="0038608B">
        <w:rPr>
          <w:sz w:val="20"/>
          <w:szCs w:val="20"/>
        </w:rPr>
        <w:t>Осадчая. Эволюция Евросоюза (в спорах рождается истина</w:t>
      </w:r>
      <w:r w:rsidR="0038608B">
        <w:rPr>
          <w:sz w:val="20"/>
          <w:szCs w:val="20"/>
        </w:rPr>
        <w:t>) /</w:t>
      </w:r>
      <w:r w:rsidRPr="0038608B">
        <w:rPr>
          <w:sz w:val="20"/>
          <w:szCs w:val="20"/>
        </w:rPr>
        <w:t>/ Осадчая Ж.К., Лобанов К.Н. // Современная Европа. - №1. – С. 39.</w:t>
      </w:r>
    </w:p>
  </w:footnote>
  <w:footnote w:id="6">
    <w:p w:rsidR="004D0703" w:rsidRDefault="00771C9F">
      <w:pPr>
        <w:pStyle w:val="a6"/>
      </w:pPr>
      <w:r w:rsidRPr="0038608B">
        <w:rPr>
          <w:rStyle w:val="a8"/>
        </w:rPr>
        <w:footnoteRef/>
      </w:r>
      <w:r w:rsidRPr="0038608B">
        <w:t xml:space="preserve"> Пенке Ю. Восточная политика расширенного ЕС: политика «соседства» или восточное измерение? // Европа. – 2005. - Вып.5. – С.130-142</w:t>
      </w:r>
    </w:p>
  </w:footnote>
  <w:footnote w:id="7">
    <w:p w:rsidR="004D0703" w:rsidRDefault="00771C9F" w:rsidP="00573186">
      <w:pPr>
        <w:pStyle w:val="a6"/>
      </w:pPr>
      <w:r>
        <w:rPr>
          <w:rStyle w:val="a8"/>
        </w:rPr>
        <w:footnoteRef/>
      </w:r>
      <w:r>
        <w:t xml:space="preserve"> Воронов Д.И.. Пятое расширение ЕС: судьбоносный выбор. // Мировая экономика и международные отношения. – 2002. - №9. – С.61.</w:t>
      </w:r>
    </w:p>
  </w:footnote>
  <w:footnote w:id="8">
    <w:p w:rsidR="004D0703" w:rsidRDefault="00771C9F" w:rsidP="00573186">
      <w:pPr>
        <w:pStyle w:val="a6"/>
      </w:pPr>
      <w:r>
        <w:rPr>
          <w:rStyle w:val="a8"/>
        </w:rPr>
        <w:footnoteRef/>
      </w:r>
      <w:r>
        <w:t xml:space="preserve"> См.: Там же. С.61.</w:t>
      </w:r>
    </w:p>
  </w:footnote>
  <w:footnote w:id="9">
    <w:p w:rsidR="004D0703" w:rsidRDefault="00771C9F" w:rsidP="00F65C19">
      <w:r>
        <w:rPr>
          <w:rStyle w:val="a8"/>
        </w:rPr>
        <w:footnoteRef/>
      </w:r>
      <w:r>
        <w:t xml:space="preserve"> </w:t>
      </w:r>
      <w:r w:rsidRPr="00F65C19">
        <w:rPr>
          <w:sz w:val="20"/>
          <w:szCs w:val="20"/>
        </w:rPr>
        <w:t>Официальный сайт Европейского Союза. [Электронный ресурс]. Режим доступа: http://www.europa.eu/scadplus/leg/en/lvb/e50004.htm</w:t>
      </w:r>
      <w:r>
        <w:rPr>
          <w:sz w:val="20"/>
          <w:szCs w:val="20"/>
        </w:rPr>
        <w:t>. , дата посещения 03.05.2007</w:t>
      </w:r>
    </w:p>
  </w:footnote>
  <w:footnote w:id="10">
    <w:p w:rsidR="004D0703" w:rsidRDefault="00771C9F" w:rsidP="00AB7611">
      <w:r>
        <w:rPr>
          <w:rStyle w:val="a8"/>
        </w:rPr>
        <w:footnoteRef/>
      </w:r>
      <w:r>
        <w:t xml:space="preserve"> </w:t>
      </w:r>
      <w:r w:rsidRPr="00F440A4">
        <w:rPr>
          <w:sz w:val="20"/>
          <w:szCs w:val="20"/>
        </w:rPr>
        <w:t>См.:</w:t>
      </w:r>
      <w:r>
        <w:rPr>
          <w:sz w:val="20"/>
          <w:szCs w:val="20"/>
        </w:rPr>
        <w:t xml:space="preserve"> Официальный сайт Европейского Союза. </w:t>
      </w:r>
      <w:r w:rsidRPr="007805B0">
        <w:rPr>
          <w:sz w:val="20"/>
          <w:szCs w:val="20"/>
        </w:rPr>
        <w:t>[</w:t>
      </w:r>
      <w:r>
        <w:rPr>
          <w:sz w:val="20"/>
          <w:szCs w:val="20"/>
        </w:rPr>
        <w:t>Электронный ресурс</w:t>
      </w:r>
      <w:r w:rsidRPr="007805B0">
        <w:rPr>
          <w:sz w:val="20"/>
          <w:szCs w:val="20"/>
        </w:rPr>
        <w:t>]</w:t>
      </w:r>
      <w:r>
        <w:rPr>
          <w:sz w:val="20"/>
          <w:szCs w:val="20"/>
        </w:rPr>
        <w:t>. Режим доступа:</w:t>
      </w:r>
      <w:r w:rsidRPr="00F440A4">
        <w:rPr>
          <w:sz w:val="20"/>
          <w:szCs w:val="20"/>
        </w:rPr>
        <w:t xml:space="preserve"> http://www.europa.eu/scadplus/leg/en/lvb/e50017.htm дата посещения 7.05.2007</w:t>
      </w:r>
    </w:p>
  </w:footnote>
  <w:footnote w:id="11">
    <w:p w:rsidR="004D0703" w:rsidRDefault="00771C9F" w:rsidP="008B2D97">
      <w:r w:rsidRPr="006811A7">
        <w:rPr>
          <w:rStyle w:val="a8"/>
        </w:rPr>
        <w:footnoteRef/>
      </w:r>
      <w:r>
        <w:t xml:space="preserve"> </w:t>
      </w:r>
      <w:r>
        <w:rPr>
          <w:sz w:val="20"/>
          <w:szCs w:val="20"/>
        </w:rPr>
        <w:t xml:space="preserve">Официальный сайт Европейского Союза. </w:t>
      </w:r>
      <w:r w:rsidRPr="007805B0">
        <w:rPr>
          <w:sz w:val="20"/>
          <w:szCs w:val="20"/>
        </w:rPr>
        <w:t>[</w:t>
      </w:r>
      <w:r>
        <w:rPr>
          <w:sz w:val="20"/>
          <w:szCs w:val="20"/>
        </w:rPr>
        <w:t>Электронный ресурс</w:t>
      </w:r>
      <w:r w:rsidRPr="007805B0">
        <w:rPr>
          <w:sz w:val="20"/>
          <w:szCs w:val="20"/>
        </w:rPr>
        <w:t>]</w:t>
      </w:r>
      <w:r>
        <w:rPr>
          <w:sz w:val="20"/>
          <w:szCs w:val="20"/>
        </w:rPr>
        <w:t>. Режим доступа:</w:t>
      </w:r>
      <w:r w:rsidRPr="00F440A4">
        <w:rPr>
          <w:sz w:val="20"/>
          <w:szCs w:val="20"/>
        </w:rPr>
        <w:t xml:space="preserve"> http://www.europa.eu/scadplus/leg/en/lvb/l25066.htm дата посещения 7.05.2007</w:t>
      </w:r>
    </w:p>
  </w:footnote>
  <w:footnote w:id="12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</w:t>
      </w:r>
      <w:r w:rsidRPr="00F440A4">
        <w:t>Постоянное представительство России при европейских сообществах. http://www.mid.ru/ns-dipecon.nsf/fc2e4121e6d9ec5343256a0c003fb7d2/7821899c18560e2643256a29003c4de1?OpenDocument дата посещения 8.05.2007</w:t>
      </w:r>
    </w:p>
  </w:footnote>
  <w:footnote w:id="13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Самуэлс Ак. Евро – на пути к глобализации. / Самуэлс Ак., Рамлоган П.  //  Финансы и развитие. – 2007. - №3. – С. 37</w:t>
      </w:r>
    </w:p>
  </w:footnote>
  <w:footnote w:id="14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Официальный сайт Европейского Союза. </w:t>
      </w:r>
      <w:r w:rsidRPr="007805B0">
        <w:t>[</w:t>
      </w:r>
      <w:r>
        <w:t>Электронный ресурс</w:t>
      </w:r>
      <w:r w:rsidRPr="007805B0">
        <w:t>]</w:t>
      </w:r>
      <w:r>
        <w:t>. Режим доступа:</w:t>
      </w:r>
      <w:r w:rsidRPr="00F440A4">
        <w:t xml:space="preserve"> </w:t>
      </w:r>
      <w:r w:rsidR="00074659" w:rsidRPr="00F975EB">
        <w:t>http://www.europa.eu/scadplus/leg/en/lvb/l25731.htm</w:t>
      </w:r>
    </w:p>
  </w:footnote>
  <w:footnote w:id="15">
    <w:p w:rsidR="004D0703" w:rsidRDefault="00771C9F" w:rsidP="002F1377">
      <w:pPr>
        <w:pStyle w:val="a6"/>
      </w:pPr>
      <w:r>
        <w:rPr>
          <w:rStyle w:val="a8"/>
        </w:rPr>
        <w:footnoteRef/>
      </w:r>
      <w:r w:rsidRPr="002B5A37">
        <w:t xml:space="preserve"> </w:t>
      </w:r>
      <w:r>
        <w:t>Поздняков В.Н. Новые страны на пороге Европейского Союза. / Поздняков В.Н., Ганжа С.П.  // Международная жизнь. – 1999. - №3. – С. 39</w:t>
      </w:r>
    </w:p>
  </w:footnote>
  <w:footnote w:id="16">
    <w:p w:rsidR="004D0703" w:rsidRDefault="00771C9F" w:rsidP="002F1377">
      <w:pPr>
        <w:pStyle w:val="a6"/>
      </w:pPr>
      <w:r>
        <w:rPr>
          <w:rStyle w:val="a8"/>
        </w:rPr>
        <w:footnoteRef/>
      </w:r>
      <w:r w:rsidRPr="00242152">
        <w:t xml:space="preserve"> </w:t>
      </w:r>
      <w:r>
        <w:t xml:space="preserve">Хьюджез К., Грейб. Х., Смит Эд. Можно ли интегрировать в ЕС государства Центральной и Восточной Европы? Отношение к интеграции стран-кандидатов на вступление в Европейский Союз. / </w:t>
      </w:r>
      <w:r>
        <w:rPr>
          <w:lang w:val="en-US"/>
        </w:rPr>
        <w:t>International</w:t>
      </w:r>
      <w:r w:rsidRPr="00137BF9">
        <w:t xml:space="preserve"> </w:t>
      </w:r>
      <w:r>
        <w:rPr>
          <w:lang w:val="en-US"/>
        </w:rPr>
        <w:t>politic</w:t>
      </w:r>
      <w:r w:rsidRPr="00137BF9">
        <w:t>.</w:t>
      </w:r>
      <w:r>
        <w:t xml:space="preserve"> – 1999. - №4. – С.58</w:t>
      </w:r>
    </w:p>
  </w:footnote>
  <w:footnote w:id="17">
    <w:p w:rsidR="004D0703" w:rsidRDefault="00771C9F" w:rsidP="002F1377">
      <w:pPr>
        <w:pStyle w:val="a6"/>
      </w:pPr>
      <w:r>
        <w:rPr>
          <w:rStyle w:val="a8"/>
        </w:rPr>
        <w:footnoteRef/>
      </w:r>
      <w:r w:rsidRPr="001F3183">
        <w:t xml:space="preserve"> </w:t>
      </w:r>
      <w:r>
        <w:t>Воронов Д.И. Пятое расширение ЕС: судьбоносный выбор. // Мировая экономика и международные отношения. – 2002. - №9. – С.61.</w:t>
      </w:r>
    </w:p>
  </w:footnote>
  <w:footnote w:id="18">
    <w:p w:rsidR="004D0703" w:rsidRDefault="00771C9F">
      <w:pPr>
        <w:pStyle w:val="a6"/>
      </w:pPr>
      <w:r>
        <w:rPr>
          <w:rStyle w:val="a8"/>
        </w:rPr>
        <w:footnoteRef/>
      </w:r>
      <w:r w:rsidRPr="00F268A9">
        <w:t xml:space="preserve"> </w:t>
      </w:r>
      <w:r>
        <w:t>Цит. по: Воронов Д.И. Пятое расширение ЕС: судьбоносный выбор. // Мировая экономика и международные отношения. – 2002. - №9. – С.61.</w:t>
      </w:r>
    </w:p>
  </w:footnote>
  <w:footnote w:id="19">
    <w:p w:rsidR="004D0703" w:rsidRDefault="00771C9F">
      <w:pPr>
        <w:pStyle w:val="a6"/>
      </w:pPr>
      <w:r>
        <w:rPr>
          <w:rStyle w:val="a8"/>
        </w:rPr>
        <w:footnoteRef/>
      </w:r>
      <w:r w:rsidRPr="00F268A9">
        <w:t xml:space="preserve"> </w:t>
      </w:r>
      <w:r w:rsidRPr="00CF6457">
        <w:t>Европейские исследования. [Электронный ресурс]. Режим доступа: http://hist.asu.ru/aes/99_2.pdf</w:t>
      </w:r>
      <w:r>
        <w:t>. , дата посещения 31.04.2007</w:t>
      </w:r>
    </w:p>
  </w:footnote>
  <w:footnote w:id="20">
    <w:p w:rsidR="004D0703" w:rsidRDefault="00771C9F" w:rsidP="002F1377">
      <w:pPr>
        <w:pStyle w:val="a6"/>
      </w:pPr>
      <w:r>
        <w:rPr>
          <w:rStyle w:val="a8"/>
        </w:rPr>
        <w:footnoteRef/>
      </w:r>
      <w:r w:rsidRPr="001F3183">
        <w:rPr>
          <w:lang w:val="en-US"/>
        </w:rPr>
        <w:t xml:space="preserve"> </w:t>
      </w:r>
      <w:r>
        <w:rPr>
          <w:lang w:val="en-US"/>
        </w:rPr>
        <w:t>Agenda</w:t>
      </w:r>
      <w:r w:rsidRPr="001F3183">
        <w:rPr>
          <w:lang w:val="en-US"/>
        </w:rPr>
        <w:t xml:space="preserve"> 2000: </w:t>
      </w:r>
      <w:r>
        <w:rPr>
          <w:lang w:val="en-US"/>
        </w:rPr>
        <w:t>An</w:t>
      </w:r>
      <w:r w:rsidRPr="001F3183">
        <w:rPr>
          <w:lang w:val="en-US"/>
        </w:rPr>
        <w:t xml:space="preserve"> </w:t>
      </w:r>
      <w:r>
        <w:rPr>
          <w:lang w:val="en-US"/>
        </w:rPr>
        <w:t>Appraisal</w:t>
      </w:r>
      <w:r w:rsidRPr="001F3183">
        <w:rPr>
          <w:lang w:val="en-US"/>
        </w:rPr>
        <w:t xml:space="preserve"> </w:t>
      </w:r>
      <w:r>
        <w:rPr>
          <w:lang w:val="en-US"/>
        </w:rPr>
        <w:t>of</w:t>
      </w:r>
      <w:r w:rsidRPr="001F3183">
        <w:rPr>
          <w:lang w:val="en-US"/>
        </w:rPr>
        <w:t xml:space="preserve"> </w:t>
      </w:r>
      <w:r>
        <w:rPr>
          <w:lang w:val="en-US"/>
        </w:rPr>
        <w:t>the</w:t>
      </w:r>
      <w:r w:rsidRPr="001F3183">
        <w:rPr>
          <w:lang w:val="en-US"/>
        </w:rPr>
        <w:t xml:space="preserve"> </w:t>
      </w:r>
      <w:r>
        <w:rPr>
          <w:lang w:val="en-US"/>
        </w:rPr>
        <w:t>Commission</w:t>
      </w:r>
      <w:r w:rsidRPr="001F3183">
        <w:rPr>
          <w:lang w:val="en-US"/>
        </w:rPr>
        <w:t>’</w:t>
      </w:r>
      <w:r>
        <w:rPr>
          <w:lang w:val="en-US"/>
        </w:rPr>
        <w:t>s</w:t>
      </w:r>
      <w:r w:rsidRPr="001F3183">
        <w:rPr>
          <w:lang w:val="en-US"/>
        </w:rPr>
        <w:t xml:space="preserve"> </w:t>
      </w:r>
      <w:r>
        <w:rPr>
          <w:lang w:val="en-US"/>
        </w:rPr>
        <w:t>Blueprint</w:t>
      </w:r>
      <w:r w:rsidRPr="001F3183">
        <w:rPr>
          <w:lang w:val="en-US"/>
        </w:rPr>
        <w:t xml:space="preserve"> </w:t>
      </w:r>
      <w:r>
        <w:rPr>
          <w:lang w:val="en-US"/>
        </w:rPr>
        <w:t>for</w:t>
      </w:r>
      <w:r w:rsidRPr="001F3183">
        <w:rPr>
          <w:lang w:val="en-US"/>
        </w:rPr>
        <w:t xml:space="preserve"> </w:t>
      </w:r>
      <w:r>
        <w:rPr>
          <w:lang w:val="en-US"/>
        </w:rPr>
        <w:t>Enlargement</w:t>
      </w:r>
      <w:r w:rsidRPr="001F3183">
        <w:rPr>
          <w:lang w:val="en-US"/>
        </w:rPr>
        <w:t xml:space="preserve"> /</w:t>
      </w:r>
      <w:r>
        <w:rPr>
          <w:lang w:val="en-US"/>
        </w:rPr>
        <w:t>Ed</w:t>
      </w:r>
      <w:r w:rsidRPr="001F3183">
        <w:rPr>
          <w:lang w:val="en-US"/>
        </w:rPr>
        <w:t xml:space="preserve">. </w:t>
      </w:r>
      <w:r>
        <w:rPr>
          <w:lang w:val="en-US"/>
        </w:rPr>
        <w:t>by</w:t>
      </w:r>
      <w:r w:rsidRPr="001F3183">
        <w:rPr>
          <w:lang w:val="en-US"/>
        </w:rPr>
        <w:t xml:space="preserve"> </w:t>
      </w:r>
      <w:r>
        <w:rPr>
          <w:lang w:val="en-US"/>
        </w:rPr>
        <w:t>M</w:t>
      </w:r>
      <w:r w:rsidRPr="001F3183">
        <w:rPr>
          <w:lang w:val="en-US"/>
        </w:rPr>
        <w:t xml:space="preserve">. </w:t>
      </w:r>
      <w:r>
        <w:rPr>
          <w:lang w:val="en-US"/>
        </w:rPr>
        <w:t>Soverovski</w:t>
      </w:r>
      <w:r w:rsidRPr="001F3183">
        <w:rPr>
          <w:lang w:val="en-US"/>
        </w:rPr>
        <w:t xml:space="preserve">. </w:t>
      </w:r>
      <w:r>
        <w:rPr>
          <w:lang w:val="en-US"/>
        </w:rPr>
        <w:t>European</w:t>
      </w:r>
      <w:r w:rsidRPr="002F1377">
        <w:rPr>
          <w:lang w:val="en-US"/>
        </w:rPr>
        <w:t xml:space="preserve"> </w:t>
      </w:r>
      <w:r>
        <w:rPr>
          <w:lang w:val="en-US"/>
        </w:rPr>
        <w:t>Institute</w:t>
      </w:r>
      <w:r w:rsidRPr="002F1377">
        <w:rPr>
          <w:lang w:val="en-US"/>
        </w:rPr>
        <w:t xml:space="preserve"> </w:t>
      </w:r>
      <w:r>
        <w:rPr>
          <w:lang w:val="en-US"/>
        </w:rPr>
        <w:t>of</w:t>
      </w:r>
      <w:r w:rsidRPr="002F1377">
        <w:rPr>
          <w:lang w:val="en-US"/>
        </w:rPr>
        <w:t xml:space="preserve"> </w:t>
      </w:r>
      <w:r>
        <w:rPr>
          <w:lang w:val="en-US"/>
        </w:rPr>
        <w:t>Public Administration. – Maastricht (The Netherlands). 1997.</w:t>
      </w:r>
    </w:p>
  </w:footnote>
  <w:footnote w:id="21">
    <w:p w:rsidR="004D0703" w:rsidRDefault="00771C9F" w:rsidP="002F1377">
      <w:pPr>
        <w:pStyle w:val="a6"/>
      </w:pPr>
      <w:r>
        <w:rPr>
          <w:rStyle w:val="a8"/>
        </w:rPr>
        <w:footnoteRef/>
      </w:r>
      <w:r w:rsidRPr="00074659">
        <w:rPr>
          <w:lang w:val="en-US"/>
        </w:rPr>
        <w:t xml:space="preserve"> </w:t>
      </w:r>
      <w:r>
        <w:t>Глинкина</w:t>
      </w:r>
      <w:r w:rsidRPr="00074659">
        <w:rPr>
          <w:lang w:val="en-US"/>
        </w:rPr>
        <w:t xml:space="preserve"> </w:t>
      </w:r>
      <w:r>
        <w:t>С</w:t>
      </w:r>
      <w:r w:rsidRPr="00074659">
        <w:rPr>
          <w:lang w:val="en-US"/>
        </w:rPr>
        <w:t>.</w:t>
      </w:r>
      <w:r>
        <w:t>П</w:t>
      </w:r>
      <w:r w:rsidRPr="00074659">
        <w:rPr>
          <w:lang w:val="en-US"/>
        </w:rPr>
        <w:t xml:space="preserve">. </w:t>
      </w:r>
      <w:r>
        <w:t>Расширение</w:t>
      </w:r>
      <w:r w:rsidRPr="00074659">
        <w:rPr>
          <w:lang w:val="en-US"/>
        </w:rPr>
        <w:t xml:space="preserve"> </w:t>
      </w:r>
      <w:r>
        <w:t>Европейского</w:t>
      </w:r>
      <w:r w:rsidRPr="00074659">
        <w:rPr>
          <w:lang w:val="en-US"/>
        </w:rPr>
        <w:t xml:space="preserve"> </w:t>
      </w:r>
      <w:r>
        <w:t>Союза</w:t>
      </w:r>
      <w:r w:rsidRPr="00074659">
        <w:rPr>
          <w:lang w:val="en-US"/>
        </w:rPr>
        <w:t xml:space="preserve"> </w:t>
      </w:r>
      <w:r>
        <w:t>и</w:t>
      </w:r>
      <w:r w:rsidRPr="00074659">
        <w:rPr>
          <w:lang w:val="en-US"/>
        </w:rPr>
        <w:t xml:space="preserve"> </w:t>
      </w:r>
      <w:r>
        <w:t>судьба</w:t>
      </w:r>
      <w:r w:rsidRPr="00074659">
        <w:rPr>
          <w:lang w:val="en-US"/>
        </w:rPr>
        <w:t xml:space="preserve"> </w:t>
      </w:r>
      <w:r>
        <w:t>европейской</w:t>
      </w:r>
      <w:r w:rsidRPr="00074659">
        <w:rPr>
          <w:lang w:val="en-US"/>
        </w:rPr>
        <w:t xml:space="preserve"> </w:t>
      </w:r>
      <w:r>
        <w:t>интеграции</w:t>
      </w:r>
      <w:r w:rsidRPr="00074659">
        <w:rPr>
          <w:lang w:val="en-US"/>
        </w:rPr>
        <w:t>. //</w:t>
      </w:r>
      <w:r>
        <w:t>Мир</w:t>
      </w:r>
      <w:r w:rsidRPr="00074659">
        <w:rPr>
          <w:lang w:val="en-US"/>
        </w:rPr>
        <w:t xml:space="preserve"> </w:t>
      </w:r>
      <w:r>
        <w:t>перемен</w:t>
      </w:r>
      <w:r w:rsidRPr="00074659">
        <w:rPr>
          <w:lang w:val="en-US"/>
        </w:rPr>
        <w:t xml:space="preserve">. – 2004. - №1. – </w:t>
      </w:r>
      <w:r>
        <w:t>С</w:t>
      </w:r>
      <w:r w:rsidRPr="00074659">
        <w:rPr>
          <w:lang w:val="en-US"/>
        </w:rPr>
        <w:t>. 99</w:t>
      </w:r>
    </w:p>
  </w:footnote>
  <w:footnote w:id="22">
    <w:p w:rsidR="004D0703" w:rsidRDefault="00771C9F" w:rsidP="002F1377">
      <w:pPr>
        <w:pStyle w:val="a6"/>
      </w:pPr>
      <w:r>
        <w:rPr>
          <w:rStyle w:val="a8"/>
        </w:rPr>
        <w:footnoteRef/>
      </w:r>
      <w:r>
        <w:t>Глинкина</w:t>
      </w:r>
      <w:r w:rsidRPr="0017742A">
        <w:t xml:space="preserve"> </w:t>
      </w:r>
      <w:r>
        <w:t>С</w:t>
      </w:r>
      <w:r w:rsidRPr="0017742A">
        <w:t>.</w:t>
      </w:r>
      <w:r>
        <w:t>П.</w:t>
      </w:r>
      <w:r w:rsidRPr="0017742A">
        <w:t xml:space="preserve"> </w:t>
      </w:r>
      <w:r>
        <w:t>Расширение</w:t>
      </w:r>
      <w:r w:rsidRPr="0017742A">
        <w:t xml:space="preserve"> </w:t>
      </w:r>
      <w:r>
        <w:t>Европейского</w:t>
      </w:r>
      <w:r w:rsidRPr="0017742A">
        <w:t xml:space="preserve"> </w:t>
      </w:r>
      <w:r>
        <w:t>Союза</w:t>
      </w:r>
      <w:r w:rsidRPr="0017742A">
        <w:t xml:space="preserve"> </w:t>
      </w:r>
      <w:r>
        <w:t>и</w:t>
      </w:r>
      <w:r w:rsidRPr="0017742A">
        <w:t xml:space="preserve"> </w:t>
      </w:r>
      <w:r>
        <w:t>судьба</w:t>
      </w:r>
      <w:r w:rsidRPr="0017742A">
        <w:t xml:space="preserve"> </w:t>
      </w:r>
      <w:r>
        <w:t>европейской</w:t>
      </w:r>
      <w:r w:rsidRPr="0017742A">
        <w:t xml:space="preserve"> </w:t>
      </w:r>
      <w:r>
        <w:t>интеграции</w:t>
      </w:r>
      <w:r w:rsidRPr="0017742A">
        <w:t>. //</w:t>
      </w:r>
      <w:r>
        <w:t>Мир</w:t>
      </w:r>
      <w:r w:rsidRPr="0017742A">
        <w:t xml:space="preserve"> </w:t>
      </w:r>
      <w:r>
        <w:t>перемен</w:t>
      </w:r>
      <w:r w:rsidRPr="0017742A">
        <w:t xml:space="preserve">. – 2004. - №1. – </w:t>
      </w:r>
      <w:r>
        <w:t>С</w:t>
      </w:r>
      <w:r w:rsidRPr="0017742A">
        <w:t>. 99</w:t>
      </w:r>
      <w:r>
        <w:t xml:space="preserve">. </w:t>
      </w:r>
    </w:p>
  </w:footnote>
  <w:footnote w:id="23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Цит. по: Глинкина С.П. Расширение Европейского Союза и судьба европейской интеграции. //Мир перемен. – 2004. - №1. – С. 101</w:t>
      </w:r>
    </w:p>
  </w:footnote>
  <w:footnote w:id="24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См.: Глинкина</w:t>
      </w:r>
      <w:r w:rsidRPr="0017742A">
        <w:t xml:space="preserve"> </w:t>
      </w:r>
      <w:r>
        <w:t>С</w:t>
      </w:r>
      <w:r w:rsidRPr="0017742A">
        <w:t>.</w:t>
      </w:r>
      <w:r>
        <w:t>П.</w:t>
      </w:r>
      <w:r w:rsidRPr="0017742A">
        <w:t xml:space="preserve"> </w:t>
      </w:r>
      <w:r>
        <w:t>Расширение</w:t>
      </w:r>
      <w:r w:rsidRPr="0017742A">
        <w:t xml:space="preserve"> </w:t>
      </w:r>
      <w:r>
        <w:t>Европейского</w:t>
      </w:r>
      <w:r w:rsidRPr="0017742A">
        <w:t xml:space="preserve"> </w:t>
      </w:r>
      <w:r>
        <w:t>Союза</w:t>
      </w:r>
      <w:r w:rsidRPr="0017742A">
        <w:t xml:space="preserve"> </w:t>
      </w:r>
      <w:r>
        <w:t>и</w:t>
      </w:r>
      <w:r w:rsidRPr="0017742A">
        <w:t xml:space="preserve"> </w:t>
      </w:r>
      <w:r>
        <w:t>судьба</w:t>
      </w:r>
      <w:r w:rsidRPr="0017742A">
        <w:t xml:space="preserve"> </w:t>
      </w:r>
      <w:r>
        <w:t>европейской</w:t>
      </w:r>
      <w:r w:rsidRPr="0017742A">
        <w:t xml:space="preserve"> </w:t>
      </w:r>
      <w:r>
        <w:t>интеграции</w:t>
      </w:r>
      <w:r w:rsidRPr="0017742A">
        <w:t>. //</w:t>
      </w:r>
      <w:r>
        <w:t>Мир</w:t>
      </w:r>
      <w:r w:rsidRPr="0017742A">
        <w:t xml:space="preserve"> </w:t>
      </w:r>
      <w:r>
        <w:t>перемен</w:t>
      </w:r>
      <w:r w:rsidRPr="0017742A">
        <w:t xml:space="preserve">. – 2004. - №1. – </w:t>
      </w:r>
      <w:r>
        <w:t>С. 103</w:t>
      </w:r>
    </w:p>
  </w:footnote>
  <w:footnote w:id="25">
    <w:p w:rsidR="004D0703" w:rsidRDefault="00771C9F" w:rsidP="00232B7E">
      <w:pPr>
        <w:spacing w:after="240"/>
        <w:ind w:right="400"/>
        <w:outlineLvl w:val="1"/>
      </w:pPr>
      <w:r>
        <w:rPr>
          <w:rStyle w:val="a8"/>
        </w:rPr>
        <w:footnoteRef/>
      </w:r>
      <w:r w:rsidRPr="00FE561E">
        <w:rPr>
          <w:sz w:val="20"/>
          <w:szCs w:val="20"/>
        </w:rPr>
        <w:t xml:space="preserve"> Евросоюз одобрил введение евро в Словении</w:t>
      </w:r>
      <w:r>
        <w:rPr>
          <w:sz w:val="20"/>
          <w:szCs w:val="20"/>
        </w:rPr>
        <w:t xml:space="preserve">. </w:t>
      </w:r>
      <w:r w:rsidRPr="00FE561E">
        <w:rPr>
          <w:sz w:val="20"/>
          <w:szCs w:val="20"/>
        </w:rPr>
        <w:t>[</w:t>
      </w:r>
      <w:r>
        <w:rPr>
          <w:sz w:val="20"/>
          <w:szCs w:val="20"/>
        </w:rPr>
        <w:t>Электронный ресурс</w:t>
      </w:r>
      <w:r w:rsidRPr="00FE561E">
        <w:rPr>
          <w:sz w:val="20"/>
          <w:szCs w:val="20"/>
        </w:rPr>
        <w:t>]</w:t>
      </w:r>
      <w:r>
        <w:rPr>
          <w:sz w:val="20"/>
          <w:szCs w:val="20"/>
        </w:rPr>
        <w:t xml:space="preserve"> Режим доступа: </w:t>
      </w:r>
      <w:r w:rsidRPr="00EB7288">
        <w:rPr>
          <w:sz w:val="20"/>
          <w:szCs w:val="20"/>
        </w:rPr>
        <w:t>http://lenta.ru/news/2006/06/16/euro/</w:t>
      </w:r>
      <w:r>
        <w:rPr>
          <w:sz w:val="20"/>
          <w:szCs w:val="20"/>
        </w:rPr>
        <w:t>, дата посещения 9.05.2007</w:t>
      </w:r>
    </w:p>
  </w:footnote>
  <w:footnote w:id="26">
    <w:p w:rsidR="004D0703" w:rsidRDefault="00771C9F" w:rsidP="00232B7E">
      <w:r>
        <w:rPr>
          <w:rStyle w:val="a8"/>
        </w:rPr>
        <w:footnoteRef/>
      </w:r>
      <w:r>
        <w:t xml:space="preserve"> </w:t>
      </w:r>
      <w:r w:rsidRPr="00232B7E">
        <w:rPr>
          <w:sz w:val="20"/>
          <w:szCs w:val="20"/>
        </w:rPr>
        <w:t>Прибавление в списке стран Шенгенского Соглашения. [Электронный ресурс] Режим доступа: http://www.norge-info.ru/shengen.html, дата посещения 9.05.2007</w:t>
      </w:r>
    </w:p>
  </w:footnote>
  <w:footnote w:id="27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Стровский Л.Е. Расширение Европейского Союза: рождение новых проблем.</w:t>
      </w:r>
    </w:p>
  </w:footnote>
  <w:footnote w:id="28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См.: Игрицкий Ю. Центральная и Восточная Европа: пейзаж после расширения ЕС. </w:t>
      </w:r>
      <w:r w:rsidRPr="00A0445F">
        <w:t>[Электронный ресурс]. Режим доступа</w:t>
      </w:r>
      <w:r>
        <w:t>:</w:t>
      </w:r>
      <w:r w:rsidRPr="00A0445F">
        <w:t xml:space="preserve"> http://www.inion.ru/product/eurosec/st2vp16.htm</w:t>
      </w:r>
      <w:r>
        <w:t>, дата посещения 8.05.2007</w:t>
      </w:r>
    </w:p>
  </w:footnote>
  <w:footnote w:id="29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См.:</w:t>
      </w:r>
      <w:r w:rsidRPr="0017742A">
        <w:t xml:space="preserve"> </w:t>
      </w:r>
      <w:r>
        <w:t>Глинкина</w:t>
      </w:r>
      <w:r w:rsidRPr="0017742A">
        <w:t xml:space="preserve"> </w:t>
      </w:r>
      <w:r>
        <w:t>С</w:t>
      </w:r>
      <w:r w:rsidRPr="0017742A">
        <w:t>.</w:t>
      </w:r>
      <w:r>
        <w:t xml:space="preserve">П. </w:t>
      </w:r>
      <w:r w:rsidRPr="0017742A">
        <w:t xml:space="preserve"> </w:t>
      </w:r>
      <w:r>
        <w:t>Расширение</w:t>
      </w:r>
      <w:r w:rsidRPr="0017742A">
        <w:t xml:space="preserve"> </w:t>
      </w:r>
      <w:r>
        <w:t>Европейского</w:t>
      </w:r>
      <w:r w:rsidRPr="0017742A">
        <w:t xml:space="preserve"> </w:t>
      </w:r>
      <w:r>
        <w:t>Союза</w:t>
      </w:r>
      <w:r w:rsidRPr="0017742A">
        <w:t xml:space="preserve"> </w:t>
      </w:r>
      <w:r>
        <w:t>и</w:t>
      </w:r>
      <w:r w:rsidRPr="0017742A">
        <w:t xml:space="preserve"> </w:t>
      </w:r>
      <w:r>
        <w:t>судьба</w:t>
      </w:r>
      <w:r w:rsidRPr="0017742A">
        <w:t xml:space="preserve"> </w:t>
      </w:r>
      <w:r>
        <w:t>европейской</w:t>
      </w:r>
      <w:r w:rsidRPr="0017742A">
        <w:t xml:space="preserve"> </w:t>
      </w:r>
      <w:r>
        <w:t>интеграции</w:t>
      </w:r>
      <w:r w:rsidRPr="0017742A">
        <w:t>. //</w:t>
      </w:r>
      <w:r>
        <w:t>Мир</w:t>
      </w:r>
      <w:r w:rsidRPr="0017742A">
        <w:t xml:space="preserve"> </w:t>
      </w:r>
      <w:r>
        <w:t>перемен</w:t>
      </w:r>
      <w:r w:rsidRPr="0017742A">
        <w:t xml:space="preserve">. – 2004. - №1. – </w:t>
      </w:r>
      <w:r>
        <w:t>С. 104.</w:t>
      </w:r>
    </w:p>
  </w:footnote>
  <w:footnote w:id="30">
    <w:p w:rsidR="004D0703" w:rsidRDefault="00771C9F" w:rsidP="007805B0">
      <w:pPr>
        <w:spacing w:line="360" w:lineRule="auto"/>
        <w:ind w:firstLine="360"/>
        <w:jc w:val="both"/>
      </w:pPr>
      <w:r>
        <w:rPr>
          <w:rStyle w:val="a8"/>
        </w:rPr>
        <w:footnoteRef/>
      </w:r>
      <w:r>
        <w:t xml:space="preserve"> </w:t>
      </w:r>
      <w:r w:rsidRPr="00026B82">
        <w:rPr>
          <w:sz w:val="20"/>
          <w:szCs w:val="20"/>
        </w:rPr>
        <w:t>См.: Поздняков В.Н. Новые страны на пороге Европейского Союза. / Поздняков В.Н., Ганжа С.П. // Международная жизнь. – 1999. - №3. – С.41.</w:t>
      </w:r>
    </w:p>
  </w:footnote>
  <w:footnote w:id="31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См.: Игрицкий Ю. Центральная и Восточная Европа: пейзаж после расширения ЕС. </w:t>
      </w:r>
      <w:r w:rsidRPr="00A0445F">
        <w:t>[Электронный ресурс]. Режим доступа</w:t>
      </w:r>
      <w:r>
        <w:t>:</w:t>
      </w:r>
      <w:r w:rsidRPr="00A0445F">
        <w:t xml:space="preserve"> http://www.inion.ru/product/eurosec/st2vp16.htm</w:t>
      </w:r>
      <w:r>
        <w:t>, дата посещения 8.05.2007</w:t>
      </w:r>
    </w:p>
  </w:footnote>
  <w:footnote w:id="32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См.: Игрицкий Ю. Центральная и Восточная Европа: пейзаж после расширения ЕС. </w:t>
      </w:r>
      <w:r w:rsidRPr="00A0445F">
        <w:t>[Электронный ресурс]. Режим доступа</w:t>
      </w:r>
      <w:r>
        <w:t>:</w:t>
      </w:r>
      <w:r w:rsidRPr="00A0445F">
        <w:t xml:space="preserve"> http://www.inion.ru/product/eurosec/st2vp16.htm</w:t>
      </w:r>
      <w:r>
        <w:t>, дата посещения 8.05.2007</w:t>
      </w:r>
    </w:p>
  </w:footnote>
  <w:footnote w:id="33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</w:t>
      </w:r>
      <w:r w:rsidRPr="009D66B4"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34">
    <w:p w:rsidR="004D0703" w:rsidRDefault="00771C9F" w:rsidP="00026B82">
      <w:pPr>
        <w:pStyle w:val="1"/>
        <w:spacing w:before="0" w:after="0"/>
      </w:pPr>
      <w:r w:rsidRPr="00925FE6">
        <w:rPr>
          <w:rStyle w:val="a8"/>
          <w:rFonts w:ascii="Times New Roman" w:hAnsi="Times New Roman" w:cs="Times New Roman"/>
          <w:b w:val="0"/>
          <w:bCs w:val="0"/>
          <w:kern w:val="0"/>
          <w:sz w:val="20"/>
          <w:szCs w:val="20"/>
        </w:rPr>
        <w:footnoteRef/>
      </w:r>
      <w:r>
        <w:t xml:space="preserve"> </w:t>
      </w:r>
      <w:r w:rsidRPr="00026B82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35">
    <w:p w:rsidR="004D0703" w:rsidRDefault="00771C9F" w:rsidP="009D66B4">
      <w:pPr>
        <w:pStyle w:val="1"/>
        <w:spacing w:before="0" w:after="0"/>
      </w:pPr>
      <w:r w:rsidRPr="00026B82">
        <w:rPr>
          <w:rStyle w:val="a8"/>
          <w:rFonts w:ascii="Times New Roman" w:hAnsi="Times New Roman" w:cs="Times New Roman"/>
          <w:b w:val="0"/>
          <w:bCs w:val="0"/>
          <w:kern w:val="0"/>
          <w:sz w:val="20"/>
          <w:szCs w:val="20"/>
        </w:rPr>
        <w:footnoteRef/>
      </w:r>
      <w:r w:rsidRPr="00026B82">
        <w:t xml:space="preserve"> </w:t>
      </w:r>
      <w:r w:rsidRPr="00925FE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Инновационная модель развития - путь к европейской интеграции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. </w:t>
      </w:r>
      <w:r w:rsidRPr="00925FE6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[Электронный ресурс]. Режим доступа: http://www.union.ru/euroint/76no9a.htm, дата посещения 8.05.2007</w:t>
      </w:r>
    </w:p>
  </w:footnote>
  <w:footnote w:id="36">
    <w:p w:rsidR="004D0703" w:rsidRDefault="00771C9F" w:rsidP="00026B82">
      <w:pPr>
        <w:pStyle w:val="1"/>
      </w:pPr>
      <w:r w:rsidRPr="00925FE6">
        <w:rPr>
          <w:rStyle w:val="a8"/>
          <w:rFonts w:ascii="Times New Roman" w:hAnsi="Times New Roman" w:cs="Times New Roman"/>
          <w:b w:val="0"/>
          <w:bCs w:val="0"/>
          <w:kern w:val="0"/>
          <w:sz w:val="20"/>
          <w:szCs w:val="20"/>
        </w:rPr>
        <w:footnoteRef/>
      </w:r>
      <w:r>
        <w:t xml:space="preserve"> </w:t>
      </w:r>
      <w:r w:rsidRPr="00026B82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37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</w:t>
      </w:r>
      <w:r w:rsidRPr="00EC187C"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38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Осадчая Ж.К. Эволюция Евросоюза (в спорах рождается истина) / Осадчая Ж.К., Лобанов К.Н.  // Современная Европа. - №1. – С. 38.</w:t>
      </w:r>
    </w:p>
  </w:footnote>
  <w:footnote w:id="39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</w:t>
      </w:r>
      <w:r w:rsidRPr="00EC187C"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40">
    <w:p w:rsidR="004D0703" w:rsidRDefault="00771C9F">
      <w:pPr>
        <w:pStyle w:val="a6"/>
      </w:pPr>
      <w:r>
        <w:rPr>
          <w:rStyle w:val="a8"/>
        </w:rPr>
        <w:footnoteRef/>
      </w:r>
      <w:r>
        <w:t xml:space="preserve"> </w:t>
      </w:r>
      <w:r w:rsidRPr="00EC187C">
        <w:t>Инновационная модель развития - путь к европейской интеграции. [Электронный ресурс]. Режим доступа: http://www.union.ru/euroint/76no9a.htm, дата посещения 8.05.2007</w:t>
      </w:r>
    </w:p>
  </w:footnote>
  <w:footnote w:id="41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Ланг К. Страны-члены Европейского Союза спустя два года после расширения: уроки и перспективы. // Вестник аналитики. – 2006. - №3. – С.104.</w:t>
      </w:r>
    </w:p>
  </w:footnote>
  <w:footnote w:id="42">
    <w:p w:rsidR="004D0703" w:rsidRDefault="00771C9F" w:rsidP="002F1377">
      <w:pPr>
        <w:pStyle w:val="a6"/>
      </w:pPr>
      <w:r>
        <w:rPr>
          <w:rStyle w:val="a8"/>
        </w:rPr>
        <w:footnoteRef/>
      </w:r>
      <w:r>
        <w:t xml:space="preserve"> См.: Ланг К. Страны-члены Европейского Союза спустя два года после расширения: уроки и перспективы. // Вестник аналитики. – 2006. - №3. – С. 105.</w:t>
      </w:r>
    </w:p>
  </w:footnote>
  <w:footnote w:id="43">
    <w:p w:rsidR="004D0703" w:rsidRDefault="00771C9F" w:rsidP="00A4799E">
      <w:pPr>
        <w:pStyle w:val="a6"/>
      </w:pPr>
      <w:r>
        <w:rPr>
          <w:rStyle w:val="a8"/>
        </w:rPr>
        <w:footnoteRef/>
      </w:r>
      <w:r>
        <w:t xml:space="preserve"> Ланг К. Страны-члены Европейского Союза спустя два года после расширения: уроки и перспективы. // Вестник аналитики. – 2006. - №3. – С.95.</w:t>
      </w:r>
    </w:p>
  </w:footnote>
  <w:footnote w:id="44">
    <w:p w:rsidR="004D0703" w:rsidRDefault="00771C9F" w:rsidP="00C63B7B">
      <w:pPr>
        <w:pStyle w:val="a6"/>
      </w:pPr>
      <w:r>
        <w:rPr>
          <w:rStyle w:val="a8"/>
        </w:rPr>
        <w:footnoteRef/>
      </w:r>
      <w:r>
        <w:t xml:space="preserve"> Там же. С.95.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C36"/>
    <w:multiLevelType w:val="hybridMultilevel"/>
    <w:tmpl w:val="0B9A56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AD703A8"/>
    <w:multiLevelType w:val="hybridMultilevel"/>
    <w:tmpl w:val="EE0E4C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BC6FDF"/>
    <w:multiLevelType w:val="hybridMultilevel"/>
    <w:tmpl w:val="2D00A79E"/>
    <w:lvl w:ilvl="0" w:tplc="DB747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979A2"/>
    <w:multiLevelType w:val="hybridMultilevel"/>
    <w:tmpl w:val="30CC8F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7D41CE3"/>
    <w:multiLevelType w:val="hybridMultilevel"/>
    <w:tmpl w:val="EE1C2B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A31F23"/>
    <w:multiLevelType w:val="hybridMultilevel"/>
    <w:tmpl w:val="66D42FD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6">
    <w:nsid w:val="484E2A0D"/>
    <w:multiLevelType w:val="hybridMultilevel"/>
    <w:tmpl w:val="E72AB3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50405C"/>
    <w:multiLevelType w:val="hybridMultilevel"/>
    <w:tmpl w:val="95600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02A119E"/>
    <w:multiLevelType w:val="hybridMultilevel"/>
    <w:tmpl w:val="0518C3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48152D"/>
    <w:multiLevelType w:val="hybridMultilevel"/>
    <w:tmpl w:val="3B964D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F17C4D"/>
    <w:multiLevelType w:val="hybridMultilevel"/>
    <w:tmpl w:val="F24602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">
    <w:nsid w:val="5E081CCF"/>
    <w:multiLevelType w:val="hybridMultilevel"/>
    <w:tmpl w:val="04940C2A"/>
    <w:lvl w:ilvl="0" w:tplc="DB747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F2669A"/>
    <w:multiLevelType w:val="hybridMultilevel"/>
    <w:tmpl w:val="F54ACDB0"/>
    <w:lvl w:ilvl="0" w:tplc="DB747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048A9"/>
    <w:multiLevelType w:val="hybridMultilevel"/>
    <w:tmpl w:val="792631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B77"/>
    <w:rsid w:val="00026B82"/>
    <w:rsid w:val="0004295C"/>
    <w:rsid w:val="00044FC0"/>
    <w:rsid w:val="0005388B"/>
    <w:rsid w:val="000632C0"/>
    <w:rsid w:val="0006567E"/>
    <w:rsid w:val="00074659"/>
    <w:rsid w:val="0009483C"/>
    <w:rsid w:val="000A2251"/>
    <w:rsid w:val="000B3128"/>
    <w:rsid w:val="000D5A60"/>
    <w:rsid w:val="000E576C"/>
    <w:rsid w:val="00107B3F"/>
    <w:rsid w:val="00121BC8"/>
    <w:rsid w:val="00137BF9"/>
    <w:rsid w:val="0017742A"/>
    <w:rsid w:val="00180D92"/>
    <w:rsid w:val="00195F4B"/>
    <w:rsid w:val="001C7153"/>
    <w:rsid w:val="001F3183"/>
    <w:rsid w:val="00217AC8"/>
    <w:rsid w:val="00223AD5"/>
    <w:rsid w:val="00232B7E"/>
    <w:rsid w:val="002359EA"/>
    <w:rsid w:val="00242152"/>
    <w:rsid w:val="002A3447"/>
    <w:rsid w:val="002B3D4D"/>
    <w:rsid w:val="002B5A37"/>
    <w:rsid w:val="002B61F3"/>
    <w:rsid w:val="002E3995"/>
    <w:rsid w:val="002F1377"/>
    <w:rsid w:val="00364E22"/>
    <w:rsid w:val="003751CB"/>
    <w:rsid w:val="0038608B"/>
    <w:rsid w:val="003B5CB5"/>
    <w:rsid w:val="003F1B9C"/>
    <w:rsid w:val="004A3A4E"/>
    <w:rsid w:val="004A7844"/>
    <w:rsid w:val="004B0AD7"/>
    <w:rsid w:val="004D0703"/>
    <w:rsid w:val="004D5FFA"/>
    <w:rsid w:val="004E3023"/>
    <w:rsid w:val="00516717"/>
    <w:rsid w:val="00521DF9"/>
    <w:rsid w:val="00526505"/>
    <w:rsid w:val="00562CC3"/>
    <w:rsid w:val="00573186"/>
    <w:rsid w:val="0059644C"/>
    <w:rsid w:val="005A1408"/>
    <w:rsid w:val="005D7CBB"/>
    <w:rsid w:val="006152EB"/>
    <w:rsid w:val="006466D2"/>
    <w:rsid w:val="006502EA"/>
    <w:rsid w:val="006811A7"/>
    <w:rsid w:val="006942F9"/>
    <w:rsid w:val="006A289B"/>
    <w:rsid w:val="006B0265"/>
    <w:rsid w:val="006D00C9"/>
    <w:rsid w:val="006F1CD2"/>
    <w:rsid w:val="00702FC0"/>
    <w:rsid w:val="0074508B"/>
    <w:rsid w:val="00752121"/>
    <w:rsid w:val="00762758"/>
    <w:rsid w:val="00771C9F"/>
    <w:rsid w:val="007805B0"/>
    <w:rsid w:val="0078511F"/>
    <w:rsid w:val="00790121"/>
    <w:rsid w:val="007A4F4A"/>
    <w:rsid w:val="007B3985"/>
    <w:rsid w:val="007B47E6"/>
    <w:rsid w:val="007C0E94"/>
    <w:rsid w:val="007C3292"/>
    <w:rsid w:val="0080351F"/>
    <w:rsid w:val="00826EC0"/>
    <w:rsid w:val="008B2D97"/>
    <w:rsid w:val="008C3794"/>
    <w:rsid w:val="008F549A"/>
    <w:rsid w:val="00925FE6"/>
    <w:rsid w:val="0093417A"/>
    <w:rsid w:val="0094068B"/>
    <w:rsid w:val="009901CA"/>
    <w:rsid w:val="009D0BC2"/>
    <w:rsid w:val="009D66B4"/>
    <w:rsid w:val="00A0445F"/>
    <w:rsid w:val="00A4799E"/>
    <w:rsid w:val="00A82935"/>
    <w:rsid w:val="00A97CC2"/>
    <w:rsid w:val="00AA7A46"/>
    <w:rsid w:val="00AB7611"/>
    <w:rsid w:val="00AC2C24"/>
    <w:rsid w:val="00AC624E"/>
    <w:rsid w:val="00B03CE4"/>
    <w:rsid w:val="00B072A7"/>
    <w:rsid w:val="00B1380E"/>
    <w:rsid w:val="00B15531"/>
    <w:rsid w:val="00B23CEE"/>
    <w:rsid w:val="00B26C31"/>
    <w:rsid w:val="00B412B1"/>
    <w:rsid w:val="00B466E8"/>
    <w:rsid w:val="00B54F82"/>
    <w:rsid w:val="00B77D1D"/>
    <w:rsid w:val="00BA1FFB"/>
    <w:rsid w:val="00BB6C20"/>
    <w:rsid w:val="00BE0D2E"/>
    <w:rsid w:val="00BF35A0"/>
    <w:rsid w:val="00C00168"/>
    <w:rsid w:val="00C27A36"/>
    <w:rsid w:val="00C472E6"/>
    <w:rsid w:val="00C63B7B"/>
    <w:rsid w:val="00C80F9E"/>
    <w:rsid w:val="00C93E05"/>
    <w:rsid w:val="00CA3FBB"/>
    <w:rsid w:val="00CA6D51"/>
    <w:rsid w:val="00CC2CDA"/>
    <w:rsid w:val="00CF2F96"/>
    <w:rsid w:val="00CF6457"/>
    <w:rsid w:val="00D10B77"/>
    <w:rsid w:val="00D260A1"/>
    <w:rsid w:val="00D4163D"/>
    <w:rsid w:val="00D86995"/>
    <w:rsid w:val="00DB27E7"/>
    <w:rsid w:val="00DC1909"/>
    <w:rsid w:val="00DD14CC"/>
    <w:rsid w:val="00DF3C33"/>
    <w:rsid w:val="00E50304"/>
    <w:rsid w:val="00E637A9"/>
    <w:rsid w:val="00E63AE4"/>
    <w:rsid w:val="00EB33F9"/>
    <w:rsid w:val="00EB7288"/>
    <w:rsid w:val="00EC187C"/>
    <w:rsid w:val="00EC18F5"/>
    <w:rsid w:val="00EC284E"/>
    <w:rsid w:val="00F268A9"/>
    <w:rsid w:val="00F440A4"/>
    <w:rsid w:val="00F65C19"/>
    <w:rsid w:val="00F975EB"/>
    <w:rsid w:val="00FA19F1"/>
    <w:rsid w:val="00FA7241"/>
    <w:rsid w:val="00FB1238"/>
    <w:rsid w:val="00FB6966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AF9F74-BEEB-4D8F-8C54-B764CEE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5F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73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5731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73186"/>
  </w:style>
  <w:style w:type="paragraph" w:styleId="a6">
    <w:name w:val="footnote text"/>
    <w:basedOn w:val="a"/>
    <w:link w:val="a7"/>
    <w:uiPriority w:val="99"/>
    <w:semiHidden/>
    <w:rsid w:val="0057318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573186"/>
    <w:rPr>
      <w:vertAlign w:val="superscript"/>
    </w:rPr>
  </w:style>
  <w:style w:type="table" w:styleId="a9">
    <w:name w:val="Table Grid"/>
    <w:basedOn w:val="a1"/>
    <w:uiPriority w:val="99"/>
    <w:rsid w:val="00596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AB7611"/>
    <w:rPr>
      <w:color w:val="000066"/>
      <w:u w:val="single"/>
    </w:rPr>
  </w:style>
  <w:style w:type="paragraph" w:styleId="ab">
    <w:name w:val="Normal (Web)"/>
    <w:basedOn w:val="a"/>
    <w:uiPriority w:val="99"/>
    <w:rsid w:val="0094068B"/>
    <w:pPr>
      <w:spacing w:before="100" w:beforeAutospacing="1" w:after="100" w:afterAutospacing="1"/>
    </w:pPr>
    <w:rPr>
      <w:color w:val="000000"/>
    </w:rPr>
  </w:style>
  <w:style w:type="paragraph" w:styleId="ac">
    <w:name w:val="annotation text"/>
    <w:basedOn w:val="a"/>
    <w:link w:val="ad"/>
    <w:uiPriority w:val="99"/>
    <w:semiHidden/>
    <w:rsid w:val="00790121"/>
  </w:style>
  <w:style w:type="character" w:customStyle="1" w:styleId="ad">
    <w:name w:val="Текст примечания Знак"/>
    <w:link w:val="ac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rsid w:val="003860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2014-02-22T10:40:00Z</dcterms:created>
  <dcterms:modified xsi:type="dcterms:W3CDTF">2014-02-22T10:40:00Z</dcterms:modified>
</cp:coreProperties>
</file>