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621" w:rsidRDefault="007D6459">
      <w:pPr>
        <w:pStyle w:val="a3"/>
      </w:pPr>
      <w:r>
        <w:br/>
      </w:r>
    </w:p>
    <w:p w:rsidR="00AB5621" w:rsidRDefault="007D6459">
      <w:pPr>
        <w:pStyle w:val="a3"/>
      </w:pPr>
      <w:r>
        <w:rPr>
          <w:b/>
          <w:bCs/>
        </w:rPr>
        <w:t>Граф Дьюла Андраши де Чиксенткирайи и Краснагорка</w:t>
      </w:r>
      <w:r>
        <w:t xml:space="preserve"> (</w:t>
      </w:r>
      <w:r>
        <w:rPr>
          <w:b/>
          <w:bCs/>
        </w:rPr>
        <w:t>Дьюла Андраши-старший</w:t>
      </w:r>
      <w:r>
        <w:t>, венг. Andrássy Gyula; 3 марта 1823(18230303), Кошице, Словакия — 18 февраля 1890, Волоска, совр. Опатия, Хорватия) — венгерский государственный и политический деятель, второй из трёх сыновей графа Карла Андраши. Имя Дьюлы Андраши носит главный проспект венгерской столицы.</w:t>
      </w:r>
    </w:p>
    <w:p w:rsidR="00AB5621" w:rsidRDefault="007D6459">
      <w:pPr>
        <w:pStyle w:val="21"/>
        <w:numPr>
          <w:ilvl w:val="0"/>
          <w:numId w:val="0"/>
        </w:numPr>
      </w:pPr>
      <w:r>
        <w:t>Биография</w:t>
      </w:r>
    </w:p>
    <w:p w:rsidR="00AB5621" w:rsidRDefault="007D6459">
      <w:pPr>
        <w:pStyle w:val="a3"/>
      </w:pPr>
      <w:r>
        <w:t>Родился 8 марта 1823 в Кошицах (комитат Абауй) в Восточной Словакии, по окончании курса в университете и по возвращении из путешествия за границу был избран Земплинским комитатом в депутаты Сейма в Пресбурге (Братиславе) 1847—1848. Поддерживал и активно участвовал в революции 1848—1849. Новое венгерское министерство назначило его обер-ишпаном Земплинского комитата. В этом звании он предводительствовал земплинским ландштурмом при Швехате, сражаясь против имперских войск. Впоследствии работал дипломатическим представителем венгерского революционного правительства в Дебрецене в Константинополе.</w:t>
      </w:r>
    </w:p>
    <w:p w:rsidR="00AB5621" w:rsidRDefault="007D6459">
      <w:pPr>
        <w:pStyle w:val="a3"/>
      </w:pPr>
      <w:r>
        <w:t>После подавления венгерской революции 1848—1849 эмигрировал в где женился на графине венгерского происхождения Екатерине Кендефи. Был заочно приговорён австрийскими властями к смертной казни через повешение и символически казнён (1851). По амнистии 1857 при помощи матери вернулся в Венгрию и принёс присягу на верность Францу-Иосифу I.</w:t>
      </w:r>
    </w:p>
    <w:p w:rsidR="00AB5621" w:rsidRDefault="007D6459">
      <w:pPr>
        <w:pStyle w:val="a3"/>
      </w:pPr>
      <w:r>
        <w:t>После избрания Земплинским округом в 1861 в венгерское государственное собрание примкнул к партии Деака, стал выступать за соглашение с Габсбургами. Когда впоследствии под руководством Бейста началось преобразование Австрийской империи, основанное на принципах дуализма, Андраши был назначен 17 февраля 1867 министром-президентом (премьер-министром) венгерского правительства. Кроме этой должности, он принял управление министерством народной обороны. На этих постах он находился до 1871.</w:t>
      </w:r>
    </w:p>
    <w:p w:rsidR="00AB5621" w:rsidRDefault="007D6459">
      <w:pPr>
        <w:pStyle w:val="a3"/>
      </w:pPr>
      <w:r>
        <w:t>В октябре 1867 Андраши лично сопровождал Франца-Иосифа I в Париж на Всемирную выставку, в 1869 в Египет, на открытие Суэцкого канала, и по выходе в отставку графа Бейста назначен в 1871 министром иностранных дел Императорского двора. На посту министра проводил политику тесного сближения с Германской империей, при поддержке которой добился согласия держав на оккупацию австро-венгерскими войсками Боснии и Герцеговины (1878).</w:t>
      </w:r>
    </w:p>
    <w:p w:rsidR="00AB5621" w:rsidRDefault="007D6459">
      <w:pPr>
        <w:pStyle w:val="a3"/>
      </w:pPr>
      <w:r>
        <w:t>С самого начала франко-прусской войны 1870—1871 Андраши выступал поборником строгого нейтралитета Австро-Венгрии, и поэтому его деятельность как министра иностранных дел ознаменовалась главным образом старанием поддержать дружественные отношения с Германией. В сентябре 1872 Андраши присутствовал с Бисмарком и Горчаковым на свидании трех императоров в Берлине; в 1874 совместно с императором Францем-Иосифом совершил визит в Петербург, в 1875 — в Венецию и в 1876 в Рейхштадт, где было заключено соглашение с Александром II.</w:t>
      </w:r>
    </w:p>
    <w:p w:rsidR="00AB5621" w:rsidRDefault="007D6459">
      <w:pPr>
        <w:pStyle w:val="a3"/>
      </w:pPr>
      <w:r>
        <w:t>Восстание в Боснии и Герцеговине побудило Андраши обратиться с нотой к Порте по вопросу о христианах, бежавших из этих стран, которая и была вручена Порте 31 января 1876. Во время войн Турции с Сербией и Герцеговиной, а затем русско-турецкой войны 1877—1878 Андраши руководил иностранной политикой в смысле соблюдения нейтралитета Австро-Венгрии. Однако Сан-Стефанский договор (1878) вызвал серьёзные опасения австрийцев, касающиеся резкого усиления роли России на Балканах. Андраши получил от австро-венгерских делегаций военный кредит в размере 60 млн флоринов, и именно по его настоянию Сан-Стефанский договор был подвергнут обсуждению представителей европейских держав на конгрессе, созванном в Берлине (1878). Андраши совместно с Калицем и Гаймерлем в качестве главного уполномоченного Австро-Венгрии добился того, что великие державы разрешили ей занять Боснию и Герцеговину, куда австрийские войска и вступили в июле 1878. С занятием Новобазарского санджака оккупационный план Андраши был ещё более расширен. 22 сентября 1879 года он оставил пост министра иностранных дел, завершив свою деятельность на этом поприще заключением с Бисмарком австро-германского оборонительного союза 1879. С тех пор Андраши занимался управлением своих имений, принимая участие в политике исключительно как член венгерской верхней палаты. Его преемником в должности министра иностранных дел и императорского двора был барон Гаймерде.</w:t>
      </w:r>
    </w:p>
    <w:p w:rsidR="00AB5621" w:rsidRDefault="007D6459">
      <w:pPr>
        <w:pStyle w:val="a3"/>
      </w:pPr>
      <w:r>
        <w:t>Дьюла Андраши умер в феврале 1890. Его сын, тоже Дьюла Андраши, также стал политиком и некоторое время занимал пост министра образования.</w:t>
      </w:r>
    </w:p>
    <w:p w:rsidR="00AB5621" w:rsidRDefault="007D6459">
      <w:pPr>
        <w:pStyle w:val="21"/>
        <w:numPr>
          <w:ilvl w:val="0"/>
          <w:numId w:val="0"/>
        </w:numPr>
      </w:pPr>
      <w:r>
        <w:t>Библиография</w:t>
      </w:r>
    </w:p>
    <w:p w:rsidR="00AB5621" w:rsidRDefault="007D6459">
      <w:pPr>
        <w:pStyle w:val="a3"/>
        <w:numPr>
          <w:ilvl w:val="0"/>
          <w:numId w:val="1"/>
        </w:numPr>
        <w:tabs>
          <w:tab w:val="left" w:pos="707"/>
        </w:tabs>
        <w:rPr>
          <w:i/>
          <w:iCs/>
        </w:rPr>
      </w:pPr>
      <w:r>
        <w:rPr>
          <w:i/>
          <w:iCs/>
        </w:rPr>
        <w:t>Wertheimer Е., Craf Julius Andrássy, sein Leben und seine Zeit, Bd I-3, Stuttg., 1910-13.</w:t>
      </w:r>
    </w:p>
    <w:p w:rsidR="00AB5621" w:rsidRDefault="007D6459">
      <w:pPr>
        <w:pStyle w:val="a3"/>
      </w:pPr>
      <w:r>
        <w:t>Источник: http://ru.wikipedia.org/wiki/Андраши,_Дьюла</w:t>
      </w:r>
      <w:bookmarkStart w:id="0" w:name="_GoBack"/>
      <w:bookmarkEnd w:id="0"/>
    </w:p>
    <w:sectPr w:rsidR="00AB5621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459"/>
    <w:rsid w:val="003C0109"/>
    <w:rsid w:val="007D6459"/>
    <w:rsid w:val="00AB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499B9-5460-4A5E-96F8-E128E982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2014-04-08T04:38:00Z</dcterms:created>
  <dcterms:modified xsi:type="dcterms:W3CDTF">2014-04-08T04:38:00Z</dcterms:modified>
</cp:coreProperties>
</file>