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7970CE"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7970CE">
        <w:rPr>
          <w:rFonts w:ascii="Times New Roman" w:hAnsi="Times New Roman"/>
          <w:sz w:val="28"/>
        </w:rPr>
        <w:t>УЛЬЯНОВСКИЙ ГОСУДАРСТВЕННЫЙ УНИВЕРСИТЕТ</w:t>
      </w: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7970CE">
        <w:rPr>
          <w:rFonts w:ascii="Times New Roman" w:hAnsi="Times New Roman"/>
          <w:sz w:val="28"/>
        </w:rPr>
        <w:t>ФАКУЛЬТЕТ КУЛЬТУРЫ И ИСКУССТВА</w:t>
      </w: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7970CE">
        <w:rPr>
          <w:rFonts w:ascii="Times New Roman" w:hAnsi="Times New Roman"/>
          <w:sz w:val="28"/>
        </w:rPr>
        <w:t>КАФЕДРА КУЛЬТУРОЛОГИИ</w:t>
      </w: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369C1" w:rsidRPr="007970CE" w:rsidRDefault="007970CE" w:rsidP="007970CE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Контрольная работа</w:t>
      </w:r>
    </w:p>
    <w:p w:rsidR="008369C1" w:rsidRPr="007970CE" w:rsidRDefault="008369C1" w:rsidP="007970C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7970CE">
        <w:rPr>
          <w:rFonts w:ascii="Times New Roman" w:hAnsi="Times New Roman"/>
          <w:sz w:val="28"/>
          <w:szCs w:val="36"/>
        </w:rPr>
        <w:t>по</w:t>
      </w:r>
      <w:r w:rsidRPr="007970CE">
        <w:rPr>
          <w:rFonts w:ascii="Times New Roman" w:hAnsi="Times New Roman"/>
          <w:sz w:val="28"/>
        </w:rPr>
        <w:t xml:space="preserve"> </w:t>
      </w:r>
      <w:r w:rsidRPr="007970CE">
        <w:rPr>
          <w:rFonts w:ascii="Times New Roman" w:hAnsi="Times New Roman"/>
          <w:sz w:val="28"/>
          <w:szCs w:val="36"/>
        </w:rPr>
        <w:t>истории и со</w:t>
      </w:r>
      <w:r w:rsidR="007970CE">
        <w:rPr>
          <w:rFonts w:ascii="Times New Roman" w:hAnsi="Times New Roman"/>
          <w:sz w:val="28"/>
          <w:szCs w:val="36"/>
        </w:rPr>
        <w:t xml:space="preserve">временности культурных ресурсов </w:t>
      </w:r>
      <w:r w:rsidRPr="007970CE">
        <w:rPr>
          <w:rFonts w:ascii="Times New Roman" w:hAnsi="Times New Roman"/>
          <w:sz w:val="28"/>
          <w:szCs w:val="36"/>
        </w:rPr>
        <w:t>Симбирска-Ульяновска</w:t>
      </w:r>
    </w:p>
    <w:p w:rsidR="007970CE" w:rsidRDefault="007970CE" w:rsidP="007970CE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На тему</w:t>
      </w:r>
    </w:p>
    <w:p w:rsidR="008369C1" w:rsidRPr="007970CE" w:rsidRDefault="008369C1" w:rsidP="007970CE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b w:val="0"/>
          <w:sz w:val="28"/>
        </w:rPr>
      </w:pPr>
      <w:r w:rsidRPr="007970CE">
        <w:rPr>
          <w:rFonts w:cs="Times New Roman"/>
          <w:b w:val="0"/>
          <w:sz w:val="28"/>
        </w:rPr>
        <w:t>Архитектурно-исторические образы улицы Минаева, здание городской электростанции</w:t>
      </w:r>
    </w:p>
    <w:p w:rsidR="008369C1" w:rsidRPr="007970CE" w:rsidRDefault="008369C1" w:rsidP="007970CE">
      <w:pPr>
        <w:pStyle w:val="a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36"/>
        </w:rPr>
      </w:pP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7970CE">
        <w:rPr>
          <w:rFonts w:ascii="Times New Roman" w:hAnsi="Times New Roman"/>
          <w:bCs/>
          <w:sz w:val="28"/>
          <w:szCs w:val="32"/>
        </w:rPr>
        <w:t>Выполнил:</w:t>
      </w: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7970CE">
        <w:rPr>
          <w:rFonts w:ascii="Times New Roman" w:hAnsi="Times New Roman"/>
          <w:sz w:val="28"/>
          <w:szCs w:val="32"/>
        </w:rPr>
        <w:t>студент кз-41</w:t>
      </w:r>
      <w:r w:rsidRPr="007970CE">
        <w:rPr>
          <w:rFonts w:ascii="Times New Roman" w:hAnsi="Times New Roman"/>
          <w:sz w:val="28"/>
          <w:szCs w:val="36"/>
        </w:rPr>
        <w:t xml:space="preserve"> </w:t>
      </w:r>
      <w:r w:rsidRPr="007970CE">
        <w:rPr>
          <w:rFonts w:ascii="Times New Roman" w:hAnsi="Times New Roman"/>
          <w:sz w:val="28"/>
          <w:szCs w:val="32"/>
        </w:rPr>
        <w:t>Волгин И.В</w:t>
      </w:r>
      <w:r w:rsidRPr="007970CE">
        <w:rPr>
          <w:rFonts w:ascii="Times New Roman" w:hAnsi="Times New Roman"/>
          <w:sz w:val="28"/>
          <w:szCs w:val="36"/>
        </w:rPr>
        <w:t>.</w:t>
      </w: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7970CE">
        <w:rPr>
          <w:rFonts w:ascii="Times New Roman" w:hAnsi="Times New Roman"/>
          <w:bCs/>
          <w:sz w:val="28"/>
          <w:szCs w:val="32"/>
        </w:rPr>
        <w:t>Проверил:</w:t>
      </w:r>
    </w:p>
    <w:p w:rsidR="008369C1" w:rsidRPr="007970CE" w:rsidRDefault="008369C1" w:rsidP="007970CE">
      <w:pPr>
        <w:pStyle w:val="a4"/>
        <w:tabs>
          <w:tab w:val="center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970CE">
        <w:rPr>
          <w:rFonts w:ascii="Times New Roman" w:hAnsi="Times New Roman"/>
          <w:sz w:val="28"/>
          <w:szCs w:val="32"/>
        </w:rPr>
        <w:t>Галкина А.Е.</w:t>
      </w:r>
    </w:p>
    <w:p w:rsidR="008369C1" w:rsidRPr="007970CE" w:rsidRDefault="008369C1" w:rsidP="007970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70CE" w:rsidRDefault="007970CE" w:rsidP="007970CE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cs="Times New Roman"/>
          <w:b w:val="0"/>
          <w:sz w:val="28"/>
          <w:szCs w:val="32"/>
        </w:rPr>
      </w:pPr>
    </w:p>
    <w:p w:rsidR="007970CE" w:rsidRDefault="007970CE" w:rsidP="007970CE">
      <w:pPr>
        <w:pStyle w:val="2"/>
        <w:numPr>
          <w:ilvl w:val="0"/>
          <w:numId w:val="0"/>
        </w:numPr>
        <w:spacing w:before="0" w:after="0" w:line="360" w:lineRule="auto"/>
        <w:jc w:val="both"/>
        <w:rPr>
          <w:rFonts w:cs="Times New Roman"/>
          <w:b w:val="0"/>
          <w:sz w:val="28"/>
          <w:szCs w:val="32"/>
        </w:rPr>
      </w:pPr>
    </w:p>
    <w:p w:rsidR="008369C1" w:rsidRPr="007970CE" w:rsidRDefault="008369C1" w:rsidP="007970CE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cs="Times New Roman"/>
          <w:b w:val="0"/>
          <w:sz w:val="28"/>
          <w:szCs w:val="28"/>
        </w:rPr>
      </w:pPr>
      <w:r w:rsidRPr="007970CE">
        <w:rPr>
          <w:rFonts w:cs="Times New Roman"/>
          <w:b w:val="0"/>
          <w:sz w:val="28"/>
          <w:szCs w:val="32"/>
        </w:rPr>
        <w:t>УлГУ 2010</w:t>
      </w:r>
    </w:p>
    <w:p w:rsidR="007970CE" w:rsidRPr="007970CE" w:rsidRDefault="007970CE" w:rsidP="007970CE">
      <w:pPr>
        <w:pStyle w:val="a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</w:rPr>
      </w:pPr>
      <w:r w:rsidRPr="007970CE">
        <w:rPr>
          <w:rFonts w:ascii="Times New Roman" w:hAnsi="Times New Roman"/>
          <w:bCs/>
          <w:sz w:val="28"/>
          <w:szCs w:val="28"/>
        </w:rPr>
        <w:br w:type="page"/>
      </w:r>
      <w:r w:rsidRPr="007970CE">
        <w:rPr>
          <w:rFonts w:ascii="Times New Roman" w:hAnsi="Times New Roman"/>
          <w:b/>
          <w:bCs/>
          <w:sz w:val="28"/>
          <w:szCs w:val="36"/>
        </w:rPr>
        <w:t>«Храм солнца»</w:t>
      </w: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69C1" w:rsidRPr="007970CE" w:rsidRDefault="008369C1" w:rsidP="007970CE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История возникновения электричества в городе Симбирске занимательна. При решении вопросов электрического освещения казенных и жилых зданий в Городской управе были голоса «за» и «против», нередко выступающие ссылались на таких купцов, как К.И. Юргенс, которые уже пользовались с успехом электрическим освещением своих зданий посредством установки индивидуальных двигателей. Купцу Юргенсу принадлежал бывший дом Гончаровых на углу Большой Саратовской (переименованной в 1912 г. в ул. Гончарова) и Московской (ныне ул. Ленина), магазин канцелярских товаров, который в свое время неоднократно посещали симбиряне.</w:t>
      </w:r>
      <w:r w:rsidR="007970CE">
        <w:rPr>
          <w:rFonts w:ascii="Times New Roman" w:hAnsi="Times New Roman"/>
          <w:sz w:val="28"/>
          <w:szCs w:val="28"/>
        </w:rPr>
        <w:t xml:space="preserve"> </w:t>
      </w:r>
      <w:r w:rsidRPr="007970CE">
        <w:rPr>
          <w:rFonts w:ascii="Times New Roman" w:hAnsi="Times New Roman"/>
          <w:sz w:val="28"/>
          <w:szCs w:val="28"/>
        </w:rPr>
        <w:t>Устройство электрического освещения в городе стало реальным в 1913 г. в связи со строительством новых сооружений водоснабжения из Свияги, которые переносились вверх по течению в менее загрязненный участок реки.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Идея использовать электрическую станцию для электроосвещения города, предусматривавшуюся первоначально только для электроснабжения сооружений водоснабжения, принадлежит товарищу и сослуживцу городского архитектора Ф.Е. Вольсова городскому инженеру В. Воронцову-Вельяминову, который, неустанно отстаивая интересы города, составил экономический расчет и соответствующее обоснование размещения этой станции ближе к центру электрических нагрузок самого города.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Шли годы и десятилетия, электроснабжение города достигло значительных масштабов, но следует с благодарностью признать, что требования электроснабжения и градостроительства на начальном этапе были решены на должном уровне и с учетом значительной перспективы ведущими инженерами и архитекторами Симбирска.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Здание Ульяновских городских электросетей, расположенное на юго-западном углу</w:t>
      </w:r>
      <w:r w:rsidR="007970CE" w:rsidRPr="007970CE">
        <w:rPr>
          <w:rFonts w:ascii="Times New Roman" w:hAnsi="Times New Roman"/>
          <w:sz w:val="28"/>
          <w:szCs w:val="28"/>
        </w:rPr>
        <w:t xml:space="preserve"> </w:t>
      </w:r>
      <w:r w:rsidRPr="007970CE">
        <w:rPr>
          <w:rFonts w:ascii="Times New Roman" w:hAnsi="Times New Roman"/>
          <w:sz w:val="28"/>
          <w:szCs w:val="28"/>
        </w:rPr>
        <w:t>пересечения улиц Минаева и Кирова, было построено в 1913 г. Это первенец электрификации Симбирска, служивший центром энергетики города в период Октябрьской революции, Гражданской и Великой Отечественной войн, что придает зданию значение исторического памятника. Одновременно оно является незаурядным памятником промышленной архитектуры города начала XX века. Автор проекта — городской архитектор по должности и гражданский инженер по образованию Феофан Евтихиевич Вольсов — оригинально решил архитектурно-художественную композицию здания, рассчитанную на восприятие с разных сторон Александровской площади, впоследствии почти полностью застроенной.</w:t>
      </w:r>
      <w:r w:rsidR="007970CE" w:rsidRPr="007970CE">
        <w:rPr>
          <w:rFonts w:ascii="Times New Roman" w:hAnsi="Times New Roman"/>
          <w:sz w:val="28"/>
          <w:szCs w:val="28"/>
        </w:rPr>
        <w:t xml:space="preserve"> </w:t>
      </w:r>
      <w:r w:rsidRPr="007970CE">
        <w:rPr>
          <w:rFonts w:ascii="Times New Roman" w:hAnsi="Times New Roman"/>
          <w:sz w:val="28"/>
          <w:szCs w:val="28"/>
        </w:rPr>
        <w:t>Архитектурно-художественный образ главного фасада, обращенного на улицу Минаева, раскрывается в своеобразном решении центрального входа. Основным мотивом его являются выступающие из плоскости стены два пилона-обелиска, между которыми расположено венецианское окно, характерное для многих зданий старого Симбирска (дом Языкова, дом Скитальца, пансион при гимназии).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Расположение обелисков перед фасадом было характерно для храмового зодчества Древнего Египта, обращение к которому раскрывает широту творческого поиска архитектора при создании художественного образа сооружения — это Храмы Солнца в Карнаке и Луксоре.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Не менее интересно решены и другие фасады здания. Боковая двухэтажная часть служит одновременно переходным звеном к одноэтажному машинному залу и имеет определенное смысловое значение. Крупный арочный проем с трехчастным делением ассоциируется с изображением восхода солнца, что соответствует идее сооружения.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Стилевая направленность боковых фасадов характерна для модерна, с его безордерной композицией, отсутствием карниза, с криволинейными очертаниями верхней части стены.</w:t>
      </w:r>
      <w:r w:rsidR="007970CE" w:rsidRPr="007970CE">
        <w:rPr>
          <w:rFonts w:ascii="Times New Roman" w:hAnsi="Times New Roman"/>
          <w:sz w:val="28"/>
          <w:szCs w:val="28"/>
        </w:rPr>
        <w:t xml:space="preserve"> </w:t>
      </w:r>
      <w:r w:rsidRPr="007970CE">
        <w:rPr>
          <w:rFonts w:ascii="Times New Roman" w:hAnsi="Times New Roman"/>
          <w:sz w:val="28"/>
          <w:szCs w:val="28"/>
        </w:rPr>
        <w:t>Одноэтажный объем машинного зала оформлен аркадами с пилястрами в простенках, являющимися традиционными формами неоклассицизма в архитектуре начала XX в.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Разнообразие исторических стилей, гармонически сочетающихся в этом здании, выражало идеал всеобщего художественного синтеза в целях служения красоте, что соответствовало поискам прекрасного в эстетике рубежа веков.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С дальнейшим развитием города здание перестало удовлетворять современным требованиям электроснабжения. Возникло противоречие между его формой и функцией, которое снимается путем придания ему современного назначения. Следует считать наиболее целесообразным с точки зрения сложившейся градостроительной ситуации размещение в этом здании детско-юношеской спортивной школы, которая послужит хорошим дополнением уже сложившегося детского городка, включающего Дворец творчества и Детскую библиотеку, а также ряд открытых спортивных площадок, расположенных поблизости, в том числе стадион «Спартак". Весь этот комплекс сооружений, подобно Артеку, занимает лучшую часть городской территории на склоне волжского косогора.</w:t>
      </w:r>
    </w:p>
    <w:p w:rsidR="008369C1" w:rsidRPr="007970CE" w:rsidRDefault="008369C1" w:rsidP="007970CE">
      <w:pPr>
        <w:pStyle w:val="a0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CE">
        <w:rPr>
          <w:rFonts w:ascii="Times New Roman" w:hAnsi="Times New Roman"/>
          <w:sz w:val="28"/>
          <w:szCs w:val="28"/>
        </w:rPr>
        <w:t>Расположенное на пути основных туристских маршрутов и формируя важнейший градостроительный узел, здание не воспринимается полностью из-за закрывающих его позднейших построек, на месте которых ранее было свободное пространство.</w:t>
      </w:r>
      <w:r w:rsidR="007970CE" w:rsidRPr="007970CE">
        <w:rPr>
          <w:rFonts w:ascii="Times New Roman" w:hAnsi="Times New Roman"/>
          <w:sz w:val="28"/>
          <w:szCs w:val="28"/>
        </w:rPr>
        <w:t xml:space="preserve"> </w:t>
      </w:r>
      <w:r w:rsidRPr="007970CE">
        <w:rPr>
          <w:rFonts w:ascii="Times New Roman" w:hAnsi="Times New Roman"/>
          <w:sz w:val="28"/>
          <w:szCs w:val="28"/>
        </w:rPr>
        <w:t>В целом историческое и архитектурное значение здания ставят его в один ряд со многими значительными памятниками города.</w:t>
      </w:r>
    </w:p>
    <w:p w:rsidR="008369C1" w:rsidRPr="007970CE" w:rsidRDefault="008369C1" w:rsidP="007970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69C1" w:rsidRPr="007970CE" w:rsidRDefault="00F06446" w:rsidP="007970C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231.75pt">
            <v:imagedata r:id="rId5" o:title=""/>
          </v:shape>
        </w:pict>
      </w:r>
      <w:bookmarkStart w:id="0" w:name="_GoBack"/>
      <w:bookmarkEnd w:id="0"/>
    </w:p>
    <w:sectPr w:rsidR="008369C1" w:rsidRPr="007970CE" w:rsidSect="007970CE"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FA0"/>
    <w:rsid w:val="000E0376"/>
    <w:rsid w:val="00405661"/>
    <w:rsid w:val="00702FA0"/>
    <w:rsid w:val="007970CE"/>
    <w:rsid w:val="008369C1"/>
    <w:rsid w:val="00950D8C"/>
    <w:rsid w:val="00BD5606"/>
    <w:rsid w:val="00C7732D"/>
    <w:rsid w:val="00C8432B"/>
    <w:rsid w:val="00CD476A"/>
    <w:rsid w:val="00D739BC"/>
    <w:rsid w:val="00DA5ACC"/>
    <w:rsid w:val="00DF5767"/>
    <w:rsid w:val="00F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F18372-189A-4AAA-8667-6612CF6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0"/>
    <w:pPr>
      <w:widowControl w:val="0"/>
      <w:suppressAutoHyphens/>
    </w:pPr>
    <w:rPr>
      <w:rFonts w:ascii="Arial" w:eastAsia="Arial Unicode MS" w:hAnsi="Arial"/>
      <w:kern w:val="1"/>
      <w:szCs w:val="24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DA5ACC"/>
    <w:pPr>
      <w:keepNext/>
      <w:numPr>
        <w:ilvl w:val="1"/>
        <w:numId w:val="1"/>
      </w:numPr>
      <w:spacing w:before="240" w:after="120"/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A5ACC"/>
    <w:pPr>
      <w:keepNext/>
      <w:numPr>
        <w:ilvl w:val="2"/>
        <w:numId w:val="1"/>
      </w:numPr>
      <w:spacing w:line="360" w:lineRule="auto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A5ACC"/>
    <w:rPr>
      <w:rFonts w:ascii="Arial" w:eastAsia="Arial Unicode MS" w:hAnsi="Arial" w:cs="Times New Roman"/>
      <w:kern w:val="1"/>
      <w:sz w:val="20"/>
      <w:szCs w:val="20"/>
    </w:rPr>
  </w:style>
  <w:style w:type="paragraph" w:styleId="a4">
    <w:name w:val="footer"/>
    <w:basedOn w:val="a"/>
    <w:link w:val="a5"/>
    <w:uiPriority w:val="99"/>
    <w:rsid w:val="00DA5ACC"/>
    <w:pPr>
      <w:tabs>
        <w:tab w:val="center" w:pos="4677"/>
        <w:tab w:val="right" w:pos="9355"/>
      </w:tabs>
      <w:autoSpaceDE w:val="0"/>
    </w:pPr>
    <w:rPr>
      <w:szCs w:val="20"/>
    </w:rPr>
  </w:style>
  <w:style w:type="paragraph" w:styleId="a0">
    <w:name w:val="Body Text"/>
    <w:basedOn w:val="a"/>
    <w:link w:val="a6"/>
    <w:uiPriority w:val="99"/>
    <w:rsid w:val="00702FA0"/>
    <w:pPr>
      <w:spacing w:after="120"/>
    </w:pPr>
  </w:style>
  <w:style w:type="paragraph" w:styleId="a7">
    <w:name w:val="Balloon Text"/>
    <w:basedOn w:val="a"/>
    <w:link w:val="a8"/>
    <w:uiPriority w:val="99"/>
    <w:semiHidden/>
    <w:rsid w:val="00702FA0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0"/>
    <w:uiPriority w:val="99"/>
    <w:locked/>
    <w:rsid w:val="00702FA0"/>
    <w:rPr>
      <w:rFonts w:ascii="Arial" w:eastAsia="Arial Unicode MS" w:hAnsi="Arial" w:cs="Times New Roman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A5ACC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customStyle="1" w:styleId="a8">
    <w:name w:val="Текст у виносці Знак"/>
    <w:link w:val="a7"/>
    <w:uiPriority w:val="99"/>
    <w:semiHidden/>
    <w:locked/>
    <w:rsid w:val="00702FA0"/>
    <w:rPr>
      <w:rFonts w:ascii="Tahoma" w:eastAsia="Arial Unicode MS" w:hAnsi="Tahoma" w:cs="Tahoma"/>
      <w:kern w:val="1"/>
      <w:sz w:val="16"/>
      <w:szCs w:val="16"/>
    </w:rPr>
  </w:style>
  <w:style w:type="character" w:customStyle="1" w:styleId="a5">
    <w:name w:val="Нижній колонтитул Знак"/>
    <w:link w:val="a4"/>
    <w:uiPriority w:val="99"/>
    <w:locked/>
    <w:rsid w:val="00DA5ACC"/>
    <w:rPr>
      <w:rFonts w:ascii="Arial" w:eastAsia="Arial Unicode MS" w:hAnsi="Arial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Hewlett-Packard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Belazik</dc:creator>
  <cp:keywords/>
  <dc:description/>
  <cp:lastModifiedBy>Irina</cp:lastModifiedBy>
  <cp:revision>2</cp:revision>
  <cp:lastPrinted>2010-12-27T08:56:00Z</cp:lastPrinted>
  <dcterms:created xsi:type="dcterms:W3CDTF">2014-08-10T14:33:00Z</dcterms:created>
  <dcterms:modified xsi:type="dcterms:W3CDTF">2014-08-10T14:33:00Z</dcterms:modified>
</cp:coreProperties>
</file>