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CF4" w:rsidRDefault="00FE5CF4" w:rsidP="00FE5CF4">
      <w:pPr>
        <w:pStyle w:val="ae"/>
        <w:jc w:val="center"/>
      </w:pPr>
    </w:p>
    <w:p w:rsidR="00FE5CF4" w:rsidRDefault="00FE5CF4" w:rsidP="00FE5CF4">
      <w:pPr>
        <w:pStyle w:val="ae"/>
        <w:jc w:val="center"/>
      </w:pPr>
    </w:p>
    <w:p w:rsidR="00FE5CF4" w:rsidRDefault="00FE5CF4" w:rsidP="00FE5CF4">
      <w:pPr>
        <w:pStyle w:val="ae"/>
        <w:jc w:val="center"/>
      </w:pPr>
    </w:p>
    <w:p w:rsidR="00FE5CF4" w:rsidRDefault="00FE5CF4" w:rsidP="00FE5CF4">
      <w:pPr>
        <w:pStyle w:val="ae"/>
        <w:jc w:val="center"/>
      </w:pPr>
    </w:p>
    <w:p w:rsidR="00FE5CF4" w:rsidRDefault="00FE5CF4" w:rsidP="00FE5CF4">
      <w:pPr>
        <w:pStyle w:val="ae"/>
        <w:jc w:val="center"/>
      </w:pPr>
    </w:p>
    <w:p w:rsidR="00FE5CF4" w:rsidRDefault="00FE5CF4" w:rsidP="00FE5CF4">
      <w:pPr>
        <w:pStyle w:val="ae"/>
        <w:jc w:val="center"/>
      </w:pPr>
    </w:p>
    <w:p w:rsidR="00FE5CF4" w:rsidRDefault="00FE5CF4" w:rsidP="00FE5CF4">
      <w:pPr>
        <w:pStyle w:val="ae"/>
        <w:jc w:val="center"/>
      </w:pPr>
    </w:p>
    <w:p w:rsidR="00FE5CF4" w:rsidRDefault="00FE5CF4" w:rsidP="00FE5CF4">
      <w:pPr>
        <w:pStyle w:val="ae"/>
        <w:jc w:val="center"/>
      </w:pPr>
    </w:p>
    <w:p w:rsidR="00FE5CF4" w:rsidRDefault="00FE5CF4" w:rsidP="00FE5CF4">
      <w:pPr>
        <w:pStyle w:val="ae"/>
        <w:jc w:val="center"/>
      </w:pPr>
    </w:p>
    <w:p w:rsidR="00FE5CF4" w:rsidRDefault="00FE5CF4" w:rsidP="00FE5CF4">
      <w:pPr>
        <w:pStyle w:val="ae"/>
        <w:jc w:val="center"/>
      </w:pPr>
    </w:p>
    <w:p w:rsidR="00FE5CF4" w:rsidRDefault="00FE5CF4" w:rsidP="00FE5CF4">
      <w:pPr>
        <w:pStyle w:val="ae"/>
        <w:jc w:val="center"/>
      </w:pPr>
    </w:p>
    <w:p w:rsidR="00FE5CF4" w:rsidRDefault="00FE5CF4" w:rsidP="00FE5CF4">
      <w:pPr>
        <w:pStyle w:val="ae"/>
        <w:jc w:val="center"/>
      </w:pPr>
    </w:p>
    <w:p w:rsidR="00910F72" w:rsidRPr="000D06DF" w:rsidRDefault="004536A6" w:rsidP="00FE5CF4">
      <w:pPr>
        <w:pStyle w:val="ae"/>
        <w:jc w:val="center"/>
      </w:pPr>
      <w:r w:rsidRPr="000D06DF">
        <w:t>Банковский м</w:t>
      </w:r>
      <w:r w:rsidR="008F563B" w:rsidRPr="000D06DF">
        <w:t>ониторинг</w:t>
      </w:r>
      <w:r w:rsidR="00910F72" w:rsidRPr="000D06DF">
        <w:t xml:space="preserve"> порядка</w:t>
      </w:r>
      <w:r w:rsidR="000D06DF" w:rsidRPr="000D06DF">
        <w:t xml:space="preserve"> </w:t>
      </w:r>
      <w:r w:rsidR="00910F72" w:rsidRPr="000D06DF">
        <w:t xml:space="preserve">организации работы по противодействию легализации (отмыванию) доходов </w:t>
      </w:r>
      <w:r w:rsidR="00F85CE7" w:rsidRPr="000D06DF">
        <w:t>и финансированию терроризма</w:t>
      </w:r>
    </w:p>
    <w:p w:rsidR="004536A6" w:rsidRPr="000D06DF" w:rsidRDefault="004536A6" w:rsidP="000D06DF">
      <w:pPr>
        <w:pStyle w:val="ae"/>
      </w:pPr>
    </w:p>
    <w:p w:rsidR="00172A9D" w:rsidRPr="000D06DF" w:rsidRDefault="00FE5CF4" w:rsidP="000D06DF">
      <w:pPr>
        <w:pStyle w:val="ae"/>
      </w:pPr>
      <w:r>
        <w:br w:type="page"/>
      </w:r>
      <w:r w:rsidR="00CE67C4" w:rsidRPr="000D06DF">
        <w:t>Актуальность улучшения работы подразделений банка по противодействию легализации (отмыванию) доходов, полученных преступным путем, и финансированию терроризма (далее - ПОД/ФТ) обусловлена рядом причин, в том числе</w:t>
      </w:r>
      <w:r w:rsidR="000D06DF">
        <w:t xml:space="preserve"> </w:t>
      </w:r>
      <w:r w:rsidR="00CE67C4" w:rsidRPr="000D06DF">
        <w:t>и тем,</w:t>
      </w:r>
      <w:r w:rsidR="000D06DF">
        <w:t xml:space="preserve"> </w:t>
      </w:r>
      <w:r w:rsidR="00CE67C4" w:rsidRPr="000D06DF">
        <w:t>что одной из основных целей модернизации регулирования экономики в нашей стране на ближайшие годы объявлена полномасштабная борьба с коррупцией и преступностью.</w:t>
      </w:r>
    </w:p>
    <w:p w:rsidR="000D06DF" w:rsidRDefault="00172A9D" w:rsidP="000D06DF">
      <w:pPr>
        <w:pStyle w:val="ae"/>
      </w:pPr>
      <w:r w:rsidRPr="000D06DF">
        <w:t xml:space="preserve">Отмечается тот факт, что в 2010 году России уже достигнуты определенные успехи в деле борьбы с коррупцией и ПОД/ФТ. Так силами МВД РФ в Москве пресечена деятельность крупнейшей за последнее время </w:t>
      </w:r>
      <w:r w:rsidR="006077B5" w:rsidRPr="000D06DF">
        <w:t xml:space="preserve">преступной группы </w:t>
      </w:r>
      <w:r w:rsidRPr="000D06DF">
        <w:t xml:space="preserve">через которую, начиная с 2007 года прошло более 30 миллиардов рублей, 440 миллионов долларов США и </w:t>
      </w:r>
      <w:r w:rsidR="007042B3" w:rsidRPr="000D06DF">
        <w:t>123 миллиона евро. В</w:t>
      </w:r>
      <w:r w:rsidR="000D06DF">
        <w:t xml:space="preserve"> </w:t>
      </w:r>
      <w:r w:rsidR="007042B3" w:rsidRPr="000D06DF">
        <w:t>схем</w:t>
      </w:r>
      <w:r w:rsidR="00D705C7" w:rsidRPr="000D06DF">
        <w:t>е</w:t>
      </w:r>
      <w:r w:rsidR="007042B3" w:rsidRPr="000D06DF">
        <w:t xml:space="preserve"> принимали участие три коммерческих банка и ряд фирм – однодневок. </w:t>
      </w:r>
      <w:r w:rsidR="00883455" w:rsidRPr="000D06DF">
        <w:t>При этом организаторы заработали на этом более 1,4 миллиардов рублей.</w:t>
      </w:r>
      <w:r w:rsidR="000D06DF">
        <w:t xml:space="preserve"> </w:t>
      </w:r>
      <w:r w:rsidR="00D705C7" w:rsidRPr="000D06DF">
        <w:t>Н</w:t>
      </w:r>
      <w:r w:rsidR="00982BED" w:rsidRPr="000D06DF">
        <w:t xml:space="preserve">еобходимо обратить особое внимание на тот факт, что все еще сильны послабления со стороны Банка России по отношению к </w:t>
      </w:r>
      <w:r w:rsidR="00D705C7" w:rsidRPr="000D06DF">
        <w:t>учреждениям – отмывающим средства.</w:t>
      </w:r>
      <w:r w:rsidR="000D06DF">
        <w:t xml:space="preserve"> </w:t>
      </w:r>
      <w:r w:rsidR="00D705C7" w:rsidRPr="000D06DF">
        <w:t xml:space="preserve">Банки, </w:t>
      </w:r>
      <w:r w:rsidR="00982BED" w:rsidRPr="000D06DF">
        <w:t>которым предстоит лишение лицензий</w:t>
      </w:r>
      <w:r w:rsidR="00D705C7" w:rsidRPr="000D06DF">
        <w:t>,</w:t>
      </w:r>
      <w:r w:rsidR="00982BED" w:rsidRPr="000D06DF">
        <w:t xml:space="preserve"> </w:t>
      </w:r>
      <w:r w:rsidR="00D705C7" w:rsidRPr="000D06DF">
        <w:t xml:space="preserve">предоставляется регулирующими органами </w:t>
      </w:r>
      <w:r w:rsidR="00982BED" w:rsidRPr="000D06DF">
        <w:t>достаточно времени</w:t>
      </w:r>
      <w:r w:rsidR="000D06DF">
        <w:t xml:space="preserve"> </w:t>
      </w:r>
      <w:r w:rsidR="00982BED" w:rsidRPr="000D06DF">
        <w:t xml:space="preserve">для распоряжения средствами </w:t>
      </w:r>
      <w:r w:rsidR="00D705C7" w:rsidRPr="000D06DF">
        <w:t xml:space="preserve">- </w:t>
      </w:r>
      <w:r w:rsidR="00982BED" w:rsidRPr="000D06DF">
        <w:t>выплаты премиальных руководству, выводу средств со счетов.</w:t>
      </w:r>
      <w:r w:rsidR="000D06DF">
        <w:t xml:space="preserve"> </w:t>
      </w:r>
      <w:r w:rsidR="00D705C7" w:rsidRPr="000D06DF">
        <w:t>Это и стало одной из причин того, что в</w:t>
      </w:r>
      <w:r w:rsidR="00982BED" w:rsidRPr="000D06DF">
        <w:t xml:space="preserve"> докладе Государственного Департамента США </w:t>
      </w:r>
      <w:r w:rsidR="004B15F3" w:rsidRPr="000D06DF">
        <w:t>Россия была отнесена к злостным «прачечным».</w:t>
      </w:r>
    </w:p>
    <w:p w:rsidR="000D06DF" w:rsidRDefault="00982BED" w:rsidP="000D06DF">
      <w:pPr>
        <w:pStyle w:val="ae"/>
      </w:pPr>
      <w:r w:rsidRPr="000D06DF">
        <w:t>П</w:t>
      </w:r>
      <w:r w:rsidR="007E3B6B" w:rsidRPr="000D06DF">
        <w:t>роблема участия банков в ПОД/ФТ носит не только российский, но и международный характер. Так, в Австрии разгорелся громкий скандал из-за того, что несколько крупных банков заподозрены в участии в преступной схеме</w:t>
      </w:r>
      <w:r w:rsidR="00D705C7" w:rsidRPr="000D06DF">
        <w:t>,</w:t>
      </w:r>
      <w:r w:rsidR="007E3B6B" w:rsidRPr="000D06DF">
        <w:t xml:space="preserve"> с помощью которой калабрийская мафия отмыла 2 миллиарда евро</w:t>
      </w:r>
      <w:r w:rsidR="00D705C7" w:rsidRPr="000D06DF">
        <w:t xml:space="preserve">. В ее организации </w:t>
      </w:r>
      <w:r w:rsidR="0053239C" w:rsidRPr="000D06DF">
        <w:t>использова</w:t>
      </w:r>
      <w:r w:rsidR="00D705C7" w:rsidRPr="000D06DF">
        <w:t xml:space="preserve">лись </w:t>
      </w:r>
      <w:r w:rsidR="0053239C" w:rsidRPr="000D06DF">
        <w:t>счета в Bank Austria Creditanstalt</w:t>
      </w:r>
      <w:r w:rsidR="00954A81" w:rsidRPr="000D06DF">
        <w:t>, Raiffeisen Zentralbank, Anglo-Irish Bank и в некоторых других финансовых учреждениях.</w:t>
      </w:r>
      <w:r w:rsidR="000D06DF">
        <w:t xml:space="preserve"> </w:t>
      </w:r>
      <w:r w:rsidR="004B15F3" w:rsidRPr="000D06DF">
        <w:t>Даже в США нашелся банк «Wachovia» который выплати</w:t>
      </w:r>
      <w:r w:rsidR="00D705C7" w:rsidRPr="000D06DF">
        <w:t>л</w:t>
      </w:r>
      <w:r w:rsidR="004B15F3" w:rsidRPr="000D06DF">
        <w:t xml:space="preserve"> властям штраф в размере 160 миллионов долларов, признавшись в отсутствии надлежащего контроля за валютными операциями и</w:t>
      </w:r>
      <w:r w:rsidR="000D06DF">
        <w:t xml:space="preserve"> </w:t>
      </w:r>
      <w:r w:rsidR="004B15F3" w:rsidRPr="000D06DF">
        <w:t>отмыванием средств в филиалах Мексики.</w:t>
      </w:r>
    </w:p>
    <w:p w:rsidR="000D06DF" w:rsidRDefault="00CE67C4" w:rsidP="000D06DF">
      <w:pPr>
        <w:pStyle w:val="ae"/>
      </w:pPr>
      <w:r w:rsidRPr="000D06DF">
        <w:t xml:space="preserve">Дополнительным фактором обуславливающим целесообразность перманентного мониторинга работы по ПОД/ФТ является то, что в </w:t>
      </w:r>
      <w:r w:rsidR="00910F72" w:rsidRPr="000D06DF">
        <w:t>соответствии с Положением ЦБ РФ от 16.12.2003 № 242-П</w:t>
      </w:r>
      <w:r w:rsidR="000D06DF">
        <w:t xml:space="preserve"> </w:t>
      </w:r>
      <w:r w:rsidR="00910F72" w:rsidRPr="000D06DF">
        <w:t>одной из целей деятельности СВК является «Исключение вовлечения кредитной организации и участия ее служащих в осуществлении противоправной деятельности, в том числе легализации (отмывания) доходов, полученных преступным путем, и финансирования терроризма».</w:t>
      </w:r>
    </w:p>
    <w:p w:rsidR="000D06DF" w:rsidRDefault="00F85CE7" w:rsidP="000D06DF">
      <w:pPr>
        <w:pStyle w:val="ae"/>
      </w:pPr>
      <w:r w:rsidRPr="000D06DF">
        <w:t>Практика показ</w:t>
      </w:r>
      <w:r w:rsidR="00E41701" w:rsidRPr="000D06DF">
        <w:t>ывает</w:t>
      </w:r>
      <w:r w:rsidRPr="000D06DF">
        <w:t>, что из рисков с которыми сталкиваются подразделения банка при проведении мониторинга деятельности по ПОД/ФТ особого внимания</w:t>
      </w:r>
      <w:r w:rsidR="000D06DF">
        <w:t xml:space="preserve"> </w:t>
      </w:r>
      <w:r w:rsidRPr="000D06DF">
        <w:t>заслуживают правовой,</w:t>
      </w:r>
      <w:r w:rsidR="000D06DF">
        <w:t xml:space="preserve"> </w:t>
      </w:r>
      <w:r w:rsidRPr="000D06DF">
        <w:t>о</w:t>
      </w:r>
      <w:r w:rsidR="00841044">
        <w:t>перационный и аудиторский риски.</w:t>
      </w:r>
    </w:p>
    <w:p w:rsidR="000D06DF" w:rsidRDefault="00910F72" w:rsidP="000D06DF">
      <w:pPr>
        <w:pStyle w:val="ae"/>
      </w:pPr>
      <w:r w:rsidRPr="000D06DF">
        <w:t>Цел</w:t>
      </w:r>
      <w:r w:rsidR="00CE67C4" w:rsidRPr="000D06DF">
        <w:t>ями мониторинга являются:</w:t>
      </w:r>
    </w:p>
    <w:p w:rsidR="000D06DF" w:rsidRDefault="00910F72" w:rsidP="000D06DF">
      <w:pPr>
        <w:pStyle w:val="ae"/>
      </w:pPr>
      <w:r w:rsidRPr="000D06DF">
        <w:t>- усил</w:t>
      </w:r>
      <w:r w:rsidR="008F563B" w:rsidRPr="000D06DF">
        <w:t xml:space="preserve">ение контроля </w:t>
      </w:r>
      <w:r w:rsidR="00572BF5" w:rsidRPr="000D06DF">
        <w:t>С</w:t>
      </w:r>
      <w:r w:rsidRPr="000D06DF">
        <w:t>ВК за порядком организации работы в Банке по ПОД/ФТ в соответствии с требованиями нормативных и распорядительных документов Банка России и иных Федеральных органов;</w:t>
      </w:r>
    </w:p>
    <w:p w:rsidR="00910F72" w:rsidRPr="000D06DF" w:rsidRDefault="00910F72" w:rsidP="000D06DF">
      <w:pPr>
        <w:pStyle w:val="ae"/>
      </w:pPr>
      <w:r w:rsidRPr="000D06DF">
        <w:t>- оценка порядка организации работы в филиалах Банка по ПОД/ФТ и разработка предложений по его совершенствованию;</w:t>
      </w:r>
    </w:p>
    <w:p w:rsidR="000D06DF" w:rsidRDefault="00910F72" w:rsidP="000D06DF">
      <w:pPr>
        <w:pStyle w:val="ae"/>
      </w:pPr>
      <w:r w:rsidRPr="000D06DF">
        <w:t>- классификация филиалов и структурных подразделений банка на группы риска и концентра</w:t>
      </w:r>
      <w:r w:rsidR="008F563B" w:rsidRPr="000D06DF">
        <w:t>ция контрольных усилий У</w:t>
      </w:r>
      <w:r w:rsidRPr="000D06DF">
        <w:t>ВК на деятельности наиболее рискованных филиалов.</w:t>
      </w:r>
    </w:p>
    <w:p w:rsidR="000D06DF" w:rsidRDefault="00910F72" w:rsidP="000D06DF">
      <w:pPr>
        <w:pStyle w:val="ae"/>
      </w:pPr>
      <w:r w:rsidRPr="000D06DF">
        <w:t>Метод проведения мониторинга: выборочная проверка с получением от подразделений Банка необходимой документации в соответствии с письменными запросами СВК и возможностью выезда на место проведения проверки (филиал,</w:t>
      </w:r>
      <w:r w:rsidR="000D06DF">
        <w:t xml:space="preserve"> </w:t>
      </w:r>
      <w:r w:rsidRPr="000D06DF">
        <w:t>структурное подразделение Головного офиса Банка)</w:t>
      </w:r>
      <w:r w:rsidR="00335D67" w:rsidRPr="000D06DF">
        <w:t>.</w:t>
      </w:r>
    </w:p>
    <w:p w:rsidR="000D06DF" w:rsidRDefault="00910F72" w:rsidP="000D06DF">
      <w:pPr>
        <w:pStyle w:val="ae"/>
      </w:pPr>
      <w:r w:rsidRPr="000D06DF">
        <w:t xml:space="preserve">Субъекты мониторинга: сотрудники структурных подразделений Банка, включая филиалы Банка, </w:t>
      </w:r>
      <w:r w:rsidR="00F85CE7" w:rsidRPr="000D06DF">
        <w:t>служба мониторинга банковских операций (СМБО),</w:t>
      </w:r>
      <w:r w:rsidR="000D06DF">
        <w:t xml:space="preserve"> </w:t>
      </w:r>
      <w:r w:rsidRPr="000D06DF">
        <w:t>управление по работе с персоналом, иные структурные подразделения Банка.</w:t>
      </w:r>
    </w:p>
    <w:p w:rsidR="000D06DF" w:rsidRDefault="00910F72" w:rsidP="000D06DF">
      <w:pPr>
        <w:pStyle w:val="ae"/>
      </w:pPr>
      <w:r w:rsidRPr="000D06DF">
        <w:t>Объекты мониторинга: положения о филиалах и структурных подразделениях Банка, должностные инструкции сотрудников,</w:t>
      </w:r>
      <w:r w:rsidR="000D06DF">
        <w:t xml:space="preserve"> </w:t>
      </w:r>
      <w:r w:rsidRPr="000D06DF">
        <w:t>личные дела сотрудников Банка,</w:t>
      </w:r>
      <w:r w:rsidR="000D06DF">
        <w:t xml:space="preserve"> </w:t>
      </w:r>
      <w:r w:rsidRPr="000D06DF">
        <w:t>квартальная и годовая отчетность филиалов и С</w:t>
      </w:r>
      <w:r w:rsidR="00F85CE7" w:rsidRPr="000D06DF">
        <w:t xml:space="preserve">МБО </w:t>
      </w:r>
      <w:r w:rsidRPr="000D06DF">
        <w:t>по ПОД/ФТ, заключения (справки, акты, выписки из указанных документов) внешних и внутренних контролирующих органов, досье и журналы</w:t>
      </w:r>
      <w:r w:rsidR="00F85CE7" w:rsidRPr="000D06DF">
        <w:t>,</w:t>
      </w:r>
      <w:r w:rsidR="000D06DF">
        <w:t xml:space="preserve"> </w:t>
      </w:r>
      <w:r w:rsidR="00F85CE7" w:rsidRPr="000D06DF">
        <w:t>о</w:t>
      </w:r>
      <w:r w:rsidRPr="000D06DF">
        <w:t>тчеты по электронным сообщениям и извещения об их получении, первичные, включая кассовые документы, информация получаемая из ИСУБД «Новая Афина», иная документация.</w:t>
      </w:r>
    </w:p>
    <w:p w:rsidR="000D06DF" w:rsidRDefault="00910F72" w:rsidP="000D06DF">
      <w:pPr>
        <w:pStyle w:val="ae"/>
      </w:pPr>
      <w:r w:rsidRPr="000D06DF">
        <w:t>При наличии временного ресурса проверяющего контролируется также порядок организации работы по ПОД/ФТ в дополнительных офисах филиала.</w:t>
      </w:r>
    </w:p>
    <w:p w:rsidR="000D06DF" w:rsidRDefault="00910F72" w:rsidP="000D06DF">
      <w:pPr>
        <w:pStyle w:val="ae"/>
      </w:pPr>
      <w:r w:rsidRPr="000D06DF">
        <w:t>Направления мониторинга:</w:t>
      </w:r>
    </w:p>
    <w:p w:rsidR="000D06DF" w:rsidRDefault="00910F72" w:rsidP="000D06DF">
      <w:pPr>
        <w:pStyle w:val="ae"/>
      </w:pPr>
      <w:r w:rsidRPr="000D06DF">
        <w:t>Организация в Банке системы внутреннего контроля в целях ПОД/ФТ.</w:t>
      </w:r>
    </w:p>
    <w:p w:rsidR="000D06DF" w:rsidRDefault="00910F72" w:rsidP="000D06DF">
      <w:pPr>
        <w:pStyle w:val="ae"/>
      </w:pPr>
      <w:r w:rsidRPr="000D06DF">
        <w:t>Реализация сотрудниками Банка принципа «Знай своего клиента».</w:t>
      </w:r>
    </w:p>
    <w:p w:rsidR="00910F72" w:rsidRPr="000D06DF" w:rsidRDefault="00910F72" w:rsidP="000D06DF">
      <w:pPr>
        <w:pStyle w:val="ae"/>
      </w:pPr>
      <w:r w:rsidRPr="000D06DF">
        <w:t>Полнота и своевременность выявления операций,</w:t>
      </w:r>
      <w:r w:rsidR="000D06DF">
        <w:t xml:space="preserve"> </w:t>
      </w:r>
      <w:r w:rsidRPr="000D06DF">
        <w:t>подлежащих обязательному контролю, своевременность направления сообщений о них в С</w:t>
      </w:r>
      <w:r w:rsidR="008F563B" w:rsidRPr="000D06DF">
        <w:t xml:space="preserve">МБО </w:t>
      </w:r>
      <w:r w:rsidRPr="000D06DF">
        <w:t>и Банк России.</w:t>
      </w:r>
    </w:p>
    <w:p w:rsidR="000D06DF" w:rsidRDefault="00910F72" w:rsidP="000D06DF">
      <w:pPr>
        <w:pStyle w:val="ae"/>
      </w:pPr>
      <w:r w:rsidRPr="000D06DF">
        <w:t xml:space="preserve">Полнота выявления подозрительных </w:t>
      </w:r>
      <w:r w:rsidR="008F563B" w:rsidRPr="000D06DF">
        <w:t>о</w:t>
      </w:r>
      <w:r w:rsidRPr="000D06DF">
        <w:t>пераций.</w:t>
      </w:r>
    </w:p>
    <w:p w:rsidR="000D06DF" w:rsidRDefault="00910F72" w:rsidP="000D06DF">
      <w:pPr>
        <w:pStyle w:val="ae"/>
      </w:pPr>
      <w:r w:rsidRPr="000D06DF">
        <w:t>Соблюдение требований Банка России к обучению персонала по ПОД/ФТ.</w:t>
      </w:r>
    </w:p>
    <w:p w:rsidR="000D06DF" w:rsidRDefault="00910F72" w:rsidP="000D06DF">
      <w:pPr>
        <w:pStyle w:val="ae"/>
      </w:pPr>
      <w:r w:rsidRPr="000D06DF">
        <w:t>1. Организация в Банке системы внутреннего контроля в целях ПОД/ФТ.</w:t>
      </w:r>
      <w:r w:rsidR="000D06DF">
        <w:t xml:space="preserve"> </w:t>
      </w:r>
      <w:r w:rsidRPr="000D06DF">
        <w:t xml:space="preserve">При проведении мониторинга данного направления </w:t>
      </w:r>
      <w:r w:rsidR="008F7A40" w:rsidRPr="000D06DF">
        <w:t xml:space="preserve">аудиторам целесообразно </w:t>
      </w:r>
      <w:r w:rsidRPr="000D06DF">
        <w:t>обратить внимание прежде всего на:</w:t>
      </w:r>
    </w:p>
    <w:p w:rsidR="000D06DF" w:rsidRDefault="00022BD9" w:rsidP="000D06DF">
      <w:pPr>
        <w:pStyle w:val="ae"/>
      </w:pPr>
      <w:r w:rsidRPr="000D06DF">
        <w:t>Согласование правил по ПОД/ФТ не только с Банком России и Росфинмониторингом, но и с ФСФР. Это стало особенно актуально с 4 квартала 2009 года</w:t>
      </w:r>
      <w:r w:rsidR="00D705C7" w:rsidRPr="000D06DF">
        <w:t>,</w:t>
      </w:r>
      <w:r w:rsidRPr="000D06DF">
        <w:t>. так как в течение последнего полугодия отказ в согласовании правил получили 118 банков, в том числе и такие крупные, как: ВТБ-24, Газпромбанк, Альфа-Банк. Перед указанными кредитными организациями возникла угроза лишения лицензий на работу с ценными бумагами и соответственно ухода с фондового рынка России.</w:t>
      </w:r>
    </w:p>
    <w:p w:rsidR="000D06DF" w:rsidRDefault="00910F72" w:rsidP="000D06DF">
      <w:pPr>
        <w:pStyle w:val="ae"/>
      </w:pPr>
      <w:r w:rsidRPr="000D06DF">
        <w:t>Соответствие внутренних нормативных документов филиалов и</w:t>
      </w:r>
      <w:r w:rsidR="00F85CE7" w:rsidRPr="000D06DF">
        <w:t xml:space="preserve"> СМБО</w:t>
      </w:r>
      <w:r w:rsidR="008F7A40" w:rsidRPr="000D06DF">
        <w:t>, а также реальной банковской практики</w:t>
      </w:r>
      <w:r w:rsidR="000D06DF">
        <w:t xml:space="preserve"> </w:t>
      </w:r>
      <w:r w:rsidR="001F0AC8" w:rsidRPr="000D06DF">
        <w:t>требованиям Банка России;</w:t>
      </w:r>
    </w:p>
    <w:p w:rsidR="000D06DF" w:rsidRDefault="00910F72" w:rsidP="000D06DF">
      <w:pPr>
        <w:pStyle w:val="ae"/>
      </w:pPr>
      <w:r w:rsidRPr="000D06DF">
        <w:t>Наличие в положениях о подразделениях функций по ПОД/ФТ</w:t>
      </w:r>
      <w:r w:rsidR="008F7A40" w:rsidRPr="000D06DF">
        <w:t xml:space="preserve"> и должностных инструкция</w:t>
      </w:r>
      <w:r w:rsidR="00D705C7" w:rsidRPr="000D06DF">
        <w:t>х сотрудников функций по ПОД/ФТ. Целесообразность такой рутинной проверки обусловлена стремлением минимизировать риски некомпетентности, нерадивости и нечестности исполнителей;</w:t>
      </w:r>
    </w:p>
    <w:p w:rsidR="000D06DF" w:rsidRDefault="00910F72" w:rsidP="000D06DF">
      <w:pPr>
        <w:pStyle w:val="ae"/>
      </w:pPr>
      <w:r w:rsidRPr="000D06DF">
        <w:t xml:space="preserve">Своевременность представления и достоверность информации филиала и структурного подразделения Банка, включаемой в квартальную и годовую отчетность по ПОД/ФТ. Своевременность </w:t>
      </w:r>
      <w:r w:rsidR="00F85CE7" w:rsidRPr="000D06DF">
        <w:t>ответов</w:t>
      </w:r>
      <w:r w:rsidR="000D06DF">
        <w:t xml:space="preserve"> </w:t>
      </w:r>
      <w:r w:rsidR="00F85CE7" w:rsidRPr="000D06DF">
        <w:t xml:space="preserve">на </w:t>
      </w:r>
      <w:r w:rsidRPr="000D06DF">
        <w:t>запрос</w:t>
      </w:r>
      <w:r w:rsidR="00F85CE7" w:rsidRPr="000D06DF">
        <w:t>ы СМБО</w:t>
      </w:r>
      <w:r w:rsidR="000D06DF">
        <w:t xml:space="preserve"> </w:t>
      </w:r>
      <w:r w:rsidRPr="000D06DF">
        <w:t>и Банка России</w:t>
      </w:r>
      <w:r w:rsidR="001F0AC8" w:rsidRPr="000D06DF">
        <w:t>;</w:t>
      </w:r>
    </w:p>
    <w:p w:rsidR="000D06DF" w:rsidRDefault="008F7A40" w:rsidP="000D06DF">
      <w:pPr>
        <w:pStyle w:val="ae"/>
      </w:pPr>
      <w:r w:rsidRPr="000D06DF">
        <w:t>Выполнение подразделениями филиала требований по получению и использованию шифровальных ключей для передачи информации в СМБО и Росфинмониторинг</w:t>
      </w:r>
      <w:r w:rsidR="001F0AC8" w:rsidRPr="000D06DF">
        <w:t>.</w:t>
      </w:r>
    </w:p>
    <w:p w:rsidR="000D06DF" w:rsidRDefault="008F563B" w:rsidP="000D06DF">
      <w:pPr>
        <w:pStyle w:val="ae"/>
      </w:pPr>
      <w:r w:rsidRPr="000D06DF">
        <w:t xml:space="preserve">Как показывает практика, наиболее </w:t>
      </w:r>
      <w:r w:rsidR="001F0AC8" w:rsidRPr="000D06DF">
        <w:t xml:space="preserve">распространенными </w:t>
      </w:r>
      <w:r w:rsidRPr="000D06DF">
        <w:t>ошибками по данному направлению является</w:t>
      </w:r>
      <w:r w:rsidR="000D06DF">
        <w:t xml:space="preserve"> </w:t>
      </w:r>
      <w:r w:rsidRPr="000D06DF">
        <w:t>невыполнение требований Положений Банка России</w:t>
      </w:r>
      <w:r w:rsidR="000D06DF">
        <w:t xml:space="preserve"> </w:t>
      </w:r>
      <w:r w:rsidRPr="000D06DF">
        <w:t>№ 321-П, в том числе:</w:t>
      </w:r>
    </w:p>
    <w:p w:rsidR="000D06DF" w:rsidRDefault="0029619D" w:rsidP="000D06DF">
      <w:pPr>
        <w:pStyle w:val="ae"/>
      </w:pPr>
      <w:r w:rsidRPr="000D06DF">
        <w:t>Отсутствие приказа о назначении исполняющего обязанности ответственного сотрудника банка в период его отпуска;</w:t>
      </w:r>
    </w:p>
    <w:p w:rsidR="000D06DF" w:rsidRDefault="008F563B" w:rsidP="000D06DF">
      <w:pPr>
        <w:pStyle w:val="ae"/>
      </w:pPr>
      <w:r w:rsidRPr="000D06DF">
        <w:t>Отсутствие документа, регламентирующего порядок хранения и использования носителей ключей аутентификации;</w:t>
      </w:r>
    </w:p>
    <w:p w:rsidR="000D06DF" w:rsidRDefault="008F563B" w:rsidP="000D06DF">
      <w:pPr>
        <w:pStyle w:val="ae"/>
      </w:pPr>
      <w:r w:rsidRPr="000D06DF">
        <w:t>Несоответствие порядка хранения секретных ключей внутренним нормативным документам Банка;</w:t>
      </w:r>
    </w:p>
    <w:p w:rsidR="000D06DF" w:rsidRDefault="008F563B" w:rsidP="000D06DF">
      <w:pPr>
        <w:pStyle w:val="ae"/>
      </w:pPr>
      <w:r w:rsidRPr="000D06DF">
        <w:t>Отсутствие списка лиц, имеющих доступ к носителям секретных ключей и ключей шифрования, с указанием конкретной информации по каждому лицу;</w:t>
      </w:r>
    </w:p>
    <w:p w:rsidR="000D06DF" w:rsidRDefault="008F563B" w:rsidP="000D06DF">
      <w:pPr>
        <w:pStyle w:val="ae"/>
      </w:pPr>
      <w:r w:rsidRPr="000D06DF">
        <w:t>Предоставление доступа к ключам КА и шифрования сотрудникам банка, не включенным в утвержденные Правлением Банка списки лиц, им</w:t>
      </w:r>
      <w:r w:rsidR="00CF59D2" w:rsidRPr="000D06DF">
        <w:t>еющим право пользования ключами.</w:t>
      </w:r>
    </w:p>
    <w:p w:rsidR="000D06DF" w:rsidRDefault="00910F72" w:rsidP="000D06DF">
      <w:pPr>
        <w:pStyle w:val="ae"/>
      </w:pPr>
      <w:r w:rsidRPr="000D06DF">
        <w:t>2. Реализация сотрудниками Банка принципа «Знай своего клиента»</w:t>
      </w:r>
      <w:r w:rsidR="00D705C7" w:rsidRPr="000D06DF">
        <w:t>. П</w:t>
      </w:r>
      <w:r w:rsidRPr="000D06DF">
        <w:t>ри проведении мониторинга данного направления следует обратить внимание</w:t>
      </w:r>
      <w:r w:rsidR="00D705C7" w:rsidRPr="000D06DF">
        <w:t>,</w:t>
      </w:r>
      <w:r w:rsidRPr="000D06DF">
        <w:t xml:space="preserve"> прежде всего на </w:t>
      </w:r>
      <w:r w:rsidR="001F0AC8" w:rsidRPr="000D06DF">
        <w:t>с</w:t>
      </w:r>
      <w:r w:rsidRPr="000D06DF">
        <w:t>ледующие факторы:</w:t>
      </w:r>
    </w:p>
    <w:p w:rsidR="000D06DF" w:rsidRDefault="00910F72" w:rsidP="000D06DF">
      <w:pPr>
        <w:pStyle w:val="ae"/>
      </w:pPr>
      <w:r w:rsidRPr="000D06DF">
        <w:t>Идентификация клиентов работниками филиала, в том числе и при осуществлении клиентами операций с наличной валютой и чеками.</w:t>
      </w:r>
    </w:p>
    <w:p w:rsidR="000D06DF" w:rsidRDefault="00910F72" w:rsidP="000D06DF">
      <w:pPr>
        <w:pStyle w:val="ae"/>
      </w:pPr>
      <w:r w:rsidRPr="000D06DF">
        <w:t>Меры</w:t>
      </w:r>
      <w:r w:rsidR="00523295" w:rsidRPr="000D06DF">
        <w:t>,</w:t>
      </w:r>
      <w:r w:rsidRPr="000D06DF">
        <w:t xml:space="preserve"> предпринятые рабо</w:t>
      </w:r>
      <w:r w:rsidR="00F7081F" w:rsidRPr="000D06DF">
        <w:t xml:space="preserve">тниками филиала для своевременного установления и идентификации выгодоприобретателей, </w:t>
      </w:r>
      <w:r w:rsidRPr="000D06DF">
        <w:t>информирования С</w:t>
      </w:r>
      <w:r w:rsidR="001F0AC8" w:rsidRPr="000D06DF">
        <w:t xml:space="preserve">МБО </w:t>
      </w:r>
      <w:r w:rsidRPr="000D06DF">
        <w:t>о</w:t>
      </w:r>
      <w:r w:rsidR="001F0AC8" w:rsidRPr="000D06DF">
        <w:t xml:space="preserve"> невозможности </w:t>
      </w:r>
      <w:r w:rsidR="00F7081F" w:rsidRPr="000D06DF">
        <w:t xml:space="preserve">ее </w:t>
      </w:r>
      <w:r w:rsidR="001F0AC8" w:rsidRPr="000D06DF">
        <w:t>осуществления</w:t>
      </w:r>
      <w:r w:rsidR="00F7081F" w:rsidRPr="000D06DF">
        <w:t>.</w:t>
      </w:r>
    </w:p>
    <w:p w:rsidR="000D06DF" w:rsidRDefault="001F0AC8" w:rsidP="000D06DF">
      <w:pPr>
        <w:pStyle w:val="ae"/>
      </w:pPr>
      <w:r w:rsidRPr="000D06DF">
        <w:t>П</w:t>
      </w:r>
      <w:r w:rsidR="00910F72" w:rsidRPr="000D06DF">
        <w:t>оряд</w:t>
      </w:r>
      <w:r w:rsidRPr="000D06DF">
        <w:t>о</w:t>
      </w:r>
      <w:r w:rsidR="00910F72" w:rsidRPr="000D06DF">
        <w:t xml:space="preserve">к </w:t>
      </w:r>
      <w:r w:rsidRPr="000D06DF">
        <w:t xml:space="preserve">ведения и своевременность пересмотра анкет </w:t>
      </w:r>
      <w:r w:rsidR="00910F72" w:rsidRPr="000D06DF">
        <w:t>клиентов</w:t>
      </w:r>
      <w:r w:rsidRPr="000D06DF">
        <w:t>;</w:t>
      </w:r>
    </w:p>
    <w:p w:rsidR="000D06DF" w:rsidRDefault="00910F72" w:rsidP="000D06DF">
      <w:pPr>
        <w:pStyle w:val="ae"/>
      </w:pPr>
      <w:r w:rsidRPr="000D06DF">
        <w:t>Полнота фиксирования сведений негативного характера, получаемых в ходе изучения клиента, в том числе о случаях отказа от совершения операций.</w:t>
      </w:r>
    </w:p>
    <w:p w:rsidR="000D06DF" w:rsidRDefault="002338EA" w:rsidP="000D06DF">
      <w:pPr>
        <w:pStyle w:val="ae"/>
      </w:pPr>
      <w:r w:rsidRPr="000D06DF">
        <w:t>Полнота и достоверность отражения в платежной документации клиентов их паспортных и иных данных в соответствии с требованиями Закона № 275-ФЗ. .</w:t>
      </w:r>
    </w:p>
    <w:p w:rsidR="000D06DF" w:rsidRDefault="00CF59D2" w:rsidP="000D06DF">
      <w:pPr>
        <w:pStyle w:val="ae"/>
      </w:pPr>
      <w:r w:rsidRPr="000D06DF">
        <w:t>Проведение проверок в более, чем 30 филиалах банков группы ВТБ показало, что центрами сосредоточения риска в рассматриваемом направлении являются:</w:t>
      </w:r>
    </w:p>
    <w:p w:rsidR="000D06DF" w:rsidRDefault="0029619D" w:rsidP="000D06DF">
      <w:pPr>
        <w:pStyle w:val="ae"/>
      </w:pPr>
      <w:r w:rsidRPr="000D06DF">
        <w:t>Не проведение идентификации выгодоприобретателей;</w:t>
      </w:r>
    </w:p>
    <w:p w:rsidR="000D06DF" w:rsidRDefault="0029619D" w:rsidP="000D06DF">
      <w:pPr>
        <w:pStyle w:val="ae"/>
      </w:pPr>
      <w:r w:rsidRPr="000D06DF">
        <w:t>Неполное или неверное заполнение анкет;</w:t>
      </w:r>
    </w:p>
    <w:p w:rsidR="000D06DF" w:rsidRDefault="0029619D" w:rsidP="000D06DF">
      <w:pPr>
        <w:pStyle w:val="ae"/>
      </w:pPr>
      <w:r w:rsidRPr="000D06DF">
        <w:t>Неустановление высокого риска клиентам п</w:t>
      </w:r>
      <w:r w:rsidR="001F0AC8" w:rsidRPr="000D06DF">
        <w:t>ри имеющихся на это основаниях;</w:t>
      </w:r>
    </w:p>
    <w:p w:rsidR="000D06DF" w:rsidRDefault="0029619D" w:rsidP="000D06DF">
      <w:pPr>
        <w:pStyle w:val="ae"/>
      </w:pPr>
      <w:r w:rsidRPr="000D06DF">
        <w:t>Отражение не всех оснований</w:t>
      </w:r>
      <w:r w:rsidR="00523295" w:rsidRPr="000D06DF">
        <w:t>,</w:t>
      </w:r>
      <w:r w:rsidRPr="000D06DF">
        <w:t xml:space="preserve"> в соответствии с которыми был установлен высокий уровень риска;</w:t>
      </w:r>
    </w:p>
    <w:p w:rsidR="000D06DF" w:rsidRDefault="0029619D" w:rsidP="000D06DF">
      <w:pPr>
        <w:pStyle w:val="ae"/>
      </w:pPr>
      <w:r w:rsidRPr="000D06DF">
        <w:t>Невнесение в анкеты клиентов изменений при наличии в филиале сведений об изменении идентификационных данных;</w:t>
      </w:r>
    </w:p>
    <w:p w:rsidR="000D06DF" w:rsidRDefault="001F0AC8" w:rsidP="000D06DF">
      <w:pPr>
        <w:pStyle w:val="ae"/>
      </w:pPr>
      <w:r w:rsidRPr="000D06DF">
        <w:t>Нахождение в</w:t>
      </w:r>
      <w:r w:rsidR="0029619D" w:rsidRPr="000D06DF">
        <w:t xml:space="preserve"> юридических делах клиентов</w:t>
      </w:r>
      <w:r w:rsidR="00523295" w:rsidRPr="000D06DF">
        <w:t>,</w:t>
      </w:r>
      <w:r w:rsidR="0029619D" w:rsidRPr="000D06DF">
        <w:t xml:space="preserve"> </w:t>
      </w:r>
      <w:r w:rsidR="00523295" w:rsidRPr="000D06DF">
        <w:t>документов удостоверяющих личность, не заверенных должным образом;</w:t>
      </w:r>
    </w:p>
    <w:p w:rsidR="000D06DF" w:rsidRDefault="007C641A" w:rsidP="000D06DF">
      <w:pPr>
        <w:pStyle w:val="ae"/>
      </w:pPr>
      <w:r w:rsidRPr="000D06DF">
        <w:t xml:space="preserve">Отсутствие в юридических делах клиентов документов, подтверждающих проведение проверки наличия органов управления юридического лица по заявленному </w:t>
      </w:r>
      <w:r w:rsidR="00F85CE7" w:rsidRPr="000D06DF">
        <w:t xml:space="preserve">клиентом </w:t>
      </w:r>
      <w:r w:rsidRPr="000D06DF">
        <w:t xml:space="preserve">адресу, что свидетельствует о формальном характере </w:t>
      </w:r>
      <w:r w:rsidR="00F85CE7" w:rsidRPr="000D06DF">
        <w:t xml:space="preserve">проведения </w:t>
      </w:r>
      <w:r w:rsidR="003449AD" w:rsidRPr="000D06DF">
        <w:t>проверки.</w:t>
      </w:r>
    </w:p>
    <w:p w:rsidR="000D06DF" w:rsidRDefault="00587F3A" w:rsidP="000D06DF">
      <w:pPr>
        <w:pStyle w:val="ae"/>
      </w:pPr>
      <w:r w:rsidRPr="000D06DF">
        <w:t xml:space="preserve">Следует согласиться </w:t>
      </w:r>
      <w:r w:rsidR="005B049C" w:rsidRPr="000D06DF">
        <w:t xml:space="preserve">с мнением директора департамента финансового мониторинга </w:t>
      </w:r>
      <w:r w:rsidR="00DD13B2" w:rsidRPr="000D06DF">
        <w:t xml:space="preserve">Банка России - </w:t>
      </w:r>
      <w:r w:rsidR="005B049C" w:rsidRPr="000D06DF">
        <w:t>Е.И.</w:t>
      </w:r>
      <w:r w:rsidR="00DD13B2" w:rsidRPr="000D06DF">
        <w:t>И</w:t>
      </w:r>
      <w:r w:rsidR="005B049C" w:rsidRPr="000D06DF">
        <w:t xml:space="preserve">щенко, подчеркнувшей, </w:t>
      </w:r>
      <w:r w:rsidR="00EE2B4A" w:rsidRPr="000D06DF">
        <w:t xml:space="preserve">что действующее законодательство создает правовой риск банковским учреждениям. Так </w:t>
      </w:r>
      <w:r w:rsidR="00DD13B2" w:rsidRPr="000D06DF">
        <w:t xml:space="preserve">клиенты не обязаны предоставлять документацию, характеризующую </w:t>
      </w:r>
      <w:r w:rsidR="00EE2B4A" w:rsidRPr="000D06DF">
        <w:t xml:space="preserve">их </w:t>
      </w:r>
      <w:r w:rsidR="00DD13B2" w:rsidRPr="000D06DF">
        <w:t>сферу деятельности, объемы и характер совершаемых операций, контрагентов и партнеров</w:t>
      </w:r>
      <w:r w:rsidR="00DD13B2" w:rsidRPr="000D06DF">
        <w:footnoteReference w:id="1"/>
      </w:r>
      <w:r w:rsidR="00DD13B2" w:rsidRPr="000D06DF">
        <w:t xml:space="preserve">. </w:t>
      </w:r>
      <w:r w:rsidR="00EE2B4A" w:rsidRPr="000D06DF">
        <w:t>При этом клиент может подать в суд на кредитную организацию, обвиняя ее в превышении полномочий при запросе документов, перечень которых не определен законом. Соответственно возникает необходимость внесения поправок в закон № 115-ФЗ, с целью регулирования прав, обязанностей и системы взаимодействия клиентов и банков.</w:t>
      </w:r>
    </w:p>
    <w:p w:rsidR="00910F72" w:rsidRPr="000D06DF" w:rsidRDefault="00910F72" w:rsidP="000D06DF">
      <w:pPr>
        <w:pStyle w:val="ae"/>
      </w:pPr>
      <w:r w:rsidRPr="000D06DF">
        <w:t>3. Полнота и своевременность выявления операций,</w:t>
      </w:r>
      <w:r w:rsidR="001F0AC8" w:rsidRPr="000D06DF">
        <w:t xml:space="preserve"> </w:t>
      </w:r>
      <w:r w:rsidRPr="000D06DF">
        <w:t>подлежащих обязательному контролю</w:t>
      </w:r>
      <w:r w:rsidR="00F85CE7" w:rsidRPr="000D06DF">
        <w:t xml:space="preserve"> (ООК)</w:t>
      </w:r>
      <w:r w:rsidR="003C2503" w:rsidRPr="000D06DF">
        <w:t>:</w:t>
      </w:r>
    </w:p>
    <w:p w:rsidR="00910F72" w:rsidRPr="000D06DF" w:rsidRDefault="00910F72" w:rsidP="000D06DF">
      <w:pPr>
        <w:pStyle w:val="ae"/>
      </w:pPr>
      <w:r w:rsidRPr="000D06DF">
        <w:t>Порядок организации работы в филиале п</w:t>
      </w:r>
      <w:r w:rsidR="003C2503" w:rsidRPr="000D06DF">
        <w:t>о выявлению ООК;</w:t>
      </w:r>
    </w:p>
    <w:p w:rsidR="000D06DF" w:rsidRDefault="00910F72" w:rsidP="000D06DF">
      <w:pPr>
        <w:pStyle w:val="ae"/>
      </w:pPr>
      <w:r w:rsidRPr="000D06DF">
        <w:t xml:space="preserve">Достаточность функциональных возможностей </w:t>
      </w:r>
      <w:r w:rsidR="001F0AC8" w:rsidRPr="000D06DF">
        <w:t xml:space="preserve">программного обеспечения используемого в банке </w:t>
      </w:r>
      <w:r w:rsidRPr="000D06DF">
        <w:t>для пр</w:t>
      </w:r>
      <w:r w:rsidR="001F0AC8" w:rsidRPr="000D06DF">
        <w:t>едоставления сотрудникам филиалов</w:t>
      </w:r>
      <w:r w:rsidRPr="000D06DF">
        <w:t xml:space="preserve"> и подразделений возможности своевременно выявлять ООК</w:t>
      </w:r>
      <w:r w:rsidR="003C2503" w:rsidRPr="000D06DF">
        <w:t>;</w:t>
      </w:r>
    </w:p>
    <w:p w:rsidR="000D06DF" w:rsidRDefault="00910F72" w:rsidP="000D06DF">
      <w:pPr>
        <w:pStyle w:val="ae"/>
      </w:pPr>
      <w:r w:rsidRPr="000D06DF">
        <w:t>Наличие у каждого сотрудника филиала или структурного подразделения на рабочем стол</w:t>
      </w:r>
      <w:r w:rsidR="003C2503" w:rsidRPr="000D06DF">
        <w:t>е ПК «черного списка» клиентов;</w:t>
      </w:r>
    </w:p>
    <w:p w:rsidR="000D06DF" w:rsidRDefault="00910F72" w:rsidP="000D06DF">
      <w:pPr>
        <w:pStyle w:val="ae"/>
      </w:pPr>
      <w:r w:rsidRPr="000D06DF">
        <w:t>Своевременность выявления ООК, включая операции с кодом 7001</w:t>
      </w:r>
      <w:r w:rsidR="000D06DF">
        <w:t xml:space="preserve"> </w:t>
      </w:r>
      <w:r w:rsidRPr="000D06DF">
        <w:t>и нап</w:t>
      </w:r>
      <w:r w:rsidR="00F85CE7" w:rsidRPr="000D06DF">
        <w:t>равления информации о них в СМБО</w:t>
      </w:r>
      <w:r w:rsidR="003C2503" w:rsidRPr="000D06DF">
        <w:t>;</w:t>
      </w:r>
    </w:p>
    <w:p w:rsidR="000D06DF" w:rsidRDefault="00910F72" w:rsidP="000D06DF">
      <w:pPr>
        <w:pStyle w:val="ae"/>
      </w:pPr>
      <w:r w:rsidRPr="000D06DF">
        <w:t xml:space="preserve">Выявление фактов </w:t>
      </w:r>
      <w:r w:rsidR="007C641A" w:rsidRPr="000D06DF">
        <w:t xml:space="preserve">позднего </w:t>
      </w:r>
      <w:r w:rsidRPr="000D06DF">
        <w:t xml:space="preserve">направления в </w:t>
      </w:r>
      <w:r w:rsidR="007C641A" w:rsidRPr="000D06DF">
        <w:t xml:space="preserve">СМБО </w:t>
      </w:r>
      <w:r w:rsidR="003C2503" w:rsidRPr="000D06DF">
        <w:t>сообщений об ООК;</w:t>
      </w:r>
    </w:p>
    <w:p w:rsidR="000D06DF" w:rsidRDefault="00910F72" w:rsidP="000D06DF">
      <w:pPr>
        <w:pStyle w:val="ae"/>
      </w:pPr>
      <w:r w:rsidRPr="000D06DF">
        <w:t>Полнота и достоверность инф</w:t>
      </w:r>
      <w:r w:rsidR="003C2503" w:rsidRPr="000D06DF">
        <w:t>ормации включенной в ОЭС об ООК;</w:t>
      </w:r>
    </w:p>
    <w:p w:rsidR="000D06DF" w:rsidRDefault="00910F72" w:rsidP="000D06DF">
      <w:pPr>
        <w:pStyle w:val="ae"/>
      </w:pPr>
      <w:r w:rsidRPr="000D06DF">
        <w:t>Наличие в филиале предусмотренных нормативными документами журналов по выявле</w:t>
      </w:r>
      <w:r w:rsidR="003C2503" w:rsidRPr="000D06DF">
        <w:t>нию ООК и порядок их заполнения;</w:t>
      </w:r>
    </w:p>
    <w:p w:rsidR="000D06DF" w:rsidRDefault="00910F72" w:rsidP="000D06DF">
      <w:pPr>
        <w:pStyle w:val="ae"/>
      </w:pPr>
      <w:r w:rsidRPr="000D06DF">
        <w:t>Выявление причин несвоевременно</w:t>
      </w:r>
      <w:r w:rsidR="00F85CE7" w:rsidRPr="000D06DF">
        <w:t>го направления СЭД об ООК в СМБО</w:t>
      </w:r>
      <w:r w:rsidR="003449AD" w:rsidRPr="000D06DF">
        <w:t>.</w:t>
      </w:r>
    </w:p>
    <w:p w:rsidR="000D06DF" w:rsidRDefault="007C641A" w:rsidP="000D06DF">
      <w:pPr>
        <w:pStyle w:val="ae"/>
      </w:pPr>
      <w:r w:rsidRPr="000D06DF">
        <w:t>К наиболе</w:t>
      </w:r>
      <w:r w:rsidR="00CE67C4" w:rsidRPr="000D06DF">
        <w:t>е часто встречающимся ошибкам по данному направлению относятся</w:t>
      </w:r>
      <w:r w:rsidR="003449AD" w:rsidRPr="000D06DF">
        <w:t>:</w:t>
      </w:r>
    </w:p>
    <w:p w:rsidR="000D06DF" w:rsidRDefault="00F85CE7" w:rsidP="000D06DF">
      <w:pPr>
        <w:pStyle w:val="ae"/>
      </w:pPr>
      <w:r w:rsidRPr="000D06DF">
        <w:t>Непредставление сведений об О</w:t>
      </w:r>
      <w:r w:rsidR="001F0AC8" w:rsidRPr="000D06DF">
        <w:t xml:space="preserve">ОК. При этом </w:t>
      </w:r>
      <w:r w:rsidR="003449AD" w:rsidRPr="000D06DF">
        <w:t xml:space="preserve">рекомендуется </w:t>
      </w:r>
      <w:r w:rsidR="001F0AC8" w:rsidRPr="000D06DF">
        <w:t>обратить особое внимание на коды оп</w:t>
      </w:r>
      <w:r w:rsidR="001F7867" w:rsidRPr="000D06DF">
        <w:t>ераций, представляющие наибольшие трудности</w:t>
      </w:r>
      <w:r w:rsidR="007A6075" w:rsidRPr="000D06DF">
        <w:t xml:space="preserve"> для ответственных сотрудников филиалов</w:t>
      </w:r>
      <w:r w:rsidR="001F7867" w:rsidRPr="000D06DF">
        <w:t xml:space="preserve">, а именно </w:t>
      </w:r>
      <w:r w:rsidR="007A6075" w:rsidRPr="000D06DF">
        <w:t xml:space="preserve">5003 – «лизинговые операции» и </w:t>
      </w:r>
      <w:r w:rsidR="001F7867" w:rsidRPr="000D06DF">
        <w:t>8001 – «сделки с недвижимостью»</w:t>
      </w:r>
      <w:r w:rsidR="007A6075" w:rsidRPr="000D06DF">
        <w:t>. В практике отмечались факты ненаправления информации о сделках</w:t>
      </w:r>
      <w:r w:rsidR="000A3141" w:rsidRPr="000D06DF">
        <w:t>,</w:t>
      </w:r>
      <w:r w:rsidR="007A6075" w:rsidRPr="000D06DF">
        <w:t xml:space="preserve"> в которых банк получал недвижимое имущество в качестве отступного по кредитным договорам;</w:t>
      </w:r>
    </w:p>
    <w:p w:rsidR="000D06DF" w:rsidRDefault="00F85CE7" w:rsidP="000D06DF">
      <w:pPr>
        <w:pStyle w:val="ae"/>
      </w:pPr>
      <w:r w:rsidRPr="000D06DF">
        <w:t>Нарушение срока представления в Росфинмониторинг сведений по ООК;</w:t>
      </w:r>
    </w:p>
    <w:p w:rsidR="000D06DF" w:rsidRDefault="00F85CE7" w:rsidP="000D06DF">
      <w:pPr>
        <w:pStyle w:val="ae"/>
      </w:pPr>
      <w:r w:rsidRPr="000D06DF">
        <w:t>Представление недостоверной информации в</w:t>
      </w:r>
      <w:r w:rsidR="000D06DF">
        <w:t xml:space="preserve"> </w:t>
      </w:r>
      <w:r w:rsidRPr="000D06DF">
        <w:t xml:space="preserve">Росфинмониторинг </w:t>
      </w:r>
      <w:r w:rsidR="00677EA5" w:rsidRPr="000D06DF">
        <w:t>в части указания даты совершения операции;</w:t>
      </w:r>
    </w:p>
    <w:p w:rsidR="00677EA5" w:rsidRPr="000D06DF" w:rsidRDefault="00677EA5" w:rsidP="000D06DF">
      <w:pPr>
        <w:pStyle w:val="ae"/>
      </w:pPr>
      <w:r w:rsidRPr="000D06DF">
        <w:t>Неверное заполнение полей файла передачи ОЭС: «Curren_Con», «Sum_Con»,</w:t>
      </w:r>
      <w:r w:rsidR="000D06DF">
        <w:t xml:space="preserve"> </w:t>
      </w:r>
      <w:r w:rsidRPr="000D06DF">
        <w:t>«TU0», «AMR S0», «VD02»</w:t>
      </w:r>
      <w:r w:rsidR="003449AD" w:rsidRPr="000D06DF">
        <w:t>;</w:t>
      </w:r>
    </w:p>
    <w:p w:rsidR="000D06DF" w:rsidRDefault="00677EA5" w:rsidP="000D06DF">
      <w:pPr>
        <w:pStyle w:val="ae"/>
      </w:pPr>
      <w:r w:rsidRPr="000D06DF">
        <w:t xml:space="preserve">Неверное раскрытие сути проводимых операций. Указание в графе «Descr» неправильного характера внешнеэкономической операции (указано импорт товара, на самом </w:t>
      </w:r>
      <w:r w:rsidR="004F38DF" w:rsidRPr="000D06DF">
        <w:t>деле контракт по импорту услуг).</w:t>
      </w:r>
    </w:p>
    <w:p w:rsidR="000D06DF" w:rsidRDefault="007D21AE" w:rsidP="000D06DF">
      <w:pPr>
        <w:pStyle w:val="ae"/>
      </w:pPr>
      <w:r w:rsidRPr="000D06DF">
        <w:t>Как показывает практика существенной проблемой, которую, банки вынуждены решать при выявлении ООК</w:t>
      </w:r>
      <w:r w:rsidR="000D06DF">
        <w:t xml:space="preserve"> </w:t>
      </w:r>
      <w:r w:rsidRPr="000D06DF">
        <w:t>и ПО является необходимость проведения выплат таможенным органам за подтверждение достоверности деклараций клиентов. Таким образом банки не только несут ответственность за полностью бесприбыльную для них работу по ПОД/ФТ, но и</w:t>
      </w:r>
      <w:r w:rsidR="000D06DF">
        <w:t xml:space="preserve"> </w:t>
      </w:r>
      <w:r w:rsidRPr="000D06DF">
        <w:t xml:space="preserve">вынуждены тратить дополнительные средства в целях повышения эффективности работы. </w:t>
      </w:r>
      <w:r w:rsidR="008D30D0" w:rsidRPr="000D06DF">
        <w:t>В настоящее время стоимость услуги по подключению кредитной организации к системе проверки достоверности таможенных деклараций составляет 10</w:t>
      </w:r>
      <w:r w:rsidR="000D06DF">
        <w:t xml:space="preserve"> </w:t>
      </w:r>
      <w:r w:rsidR="008D30D0" w:rsidRPr="000D06DF">
        <w:t>000 рублей, а стоимость абонентского обслуживания – 3000 рублей</w:t>
      </w:r>
      <w:r w:rsidR="00E41701" w:rsidRPr="000D06DF">
        <w:t xml:space="preserve"> в месяц</w:t>
      </w:r>
      <w:r w:rsidR="008D30D0" w:rsidRPr="000D06DF">
        <w:t>.</w:t>
      </w:r>
    </w:p>
    <w:p w:rsidR="000D06DF" w:rsidRDefault="00910F72" w:rsidP="000D06DF">
      <w:pPr>
        <w:pStyle w:val="ae"/>
      </w:pPr>
      <w:r w:rsidRPr="000D06DF">
        <w:t>4. Полнота и своевременность выявления подозрительных</w:t>
      </w:r>
      <w:r w:rsidR="007A6075" w:rsidRPr="000D06DF">
        <w:t xml:space="preserve"> </w:t>
      </w:r>
      <w:r w:rsidRPr="000D06DF">
        <w:t>операций, включая сомнительные.</w:t>
      </w:r>
      <w:r w:rsidR="000D06DF">
        <w:t xml:space="preserve"> </w:t>
      </w:r>
      <w:r w:rsidRPr="000D06DF">
        <w:t xml:space="preserve">При проведении мониторинга данного направления следует обращать особое внимание </w:t>
      </w:r>
      <w:r w:rsidR="003449AD" w:rsidRPr="000D06DF">
        <w:t>прежде всего на следующие факты:</w:t>
      </w:r>
    </w:p>
    <w:p w:rsidR="000D06DF" w:rsidRDefault="00E96B72" w:rsidP="000D06DF">
      <w:pPr>
        <w:pStyle w:val="ae"/>
      </w:pPr>
      <w:r w:rsidRPr="000D06DF">
        <w:t>Организация</w:t>
      </w:r>
      <w:r w:rsidR="00910F72" w:rsidRPr="000D06DF">
        <w:t xml:space="preserve"> работы сотрудников Филиала, осуществляющих мониторинг подозрительных (</w:t>
      </w:r>
      <w:r w:rsidR="003449AD" w:rsidRPr="000D06DF">
        <w:t>включая сомнительные)</w:t>
      </w:r>
      <w:r w:rsidR="000D06DF">
        <w:t xml:space="preserve"> </w:t>
      </w:r>
      <w:r w:rsidR="003449AD" w:rsidRPr="000D06DF">
        <w:t>операций;</w:t>
      </w:r>
    </w:p>
    <w:p w:rsidR="000D06DF" w:rsidRDefault="00910F72" w:rsidP="000D06DF">
      <w:pPr>
        <w:pStyle w:val="ae"/>
      </w:pPr>
      <w:r w:rsidRPr="000D06DF">
        <w:t xml:space="preserve">Наличие в филиале </w:t>
      </w:r>
      <w:r w:rsidR="00E96B72" w:rsidRPr="000D06DF">
        <w:t xml:space="preserve">(подразделении) </w:t>
      </w:r>
      <w:r w:rsidRPr="000D06DF">
        <w:t xml:space="preserve">контроля за </w:t>
      </w:r>
      <w:r w:rsidR="00E96B72" w:rsidRPr="000D06DF">
        <w:t>деятельностью</w:t>
      </w:r>
      <w:r w:rsidRPr="000D06DF">
        <w:t xml:space="preserve"> клиентов в установленных нормативными документами случаях, в</w:t>
      </w:r>
      <w:r w:rsidR="003449AD" w:rsidRPr="000D06DF">
        <w:t xml:space="preserve"> том числе, но не ограничиваясь:</w:t>
      </w:r>
    </w:p>
    <w:p w:rsidR="000D06DF" w:rsidRDefault="00910F72" w:rsidP="000D06DF">
      <w:pPr>
        <w:pStyle w:val="ae"/>
      </w:pPr>
      <w:r w:rsidRPr="000D06DF">
        <w:t>осуществление переводов денежных средств в оплату за товары, приобретаемые у нерезидентов на территории РФ, проведенных юридическими лицами клиентами Банка;</w:t>
      </w:r>
    </w:p>
    <w:p w:rsidR="000D06DF" w:rsidRDefault="00910F72" w:rsidP="000D06DF">
      <w:pPr>
        <w:pStyle w:val="ae"/>
      </w:pPr>
      <w:r w:rsidRPr="000D06DF">
        <w:t>операции по корреспондентским счетам банков – нерезидентов;</w:t>
      </w:r>
    </w:p>
    <w:p w:rsidR="000D06DF" w:rsidRDefault="00910F72" w:rsidP="000D06DF">
      <w:pPr>
        <w:pStyle w:val="ae"/>
      </w:pPr>
      <w:r w:rsidRPr="000D06DF">
        <w:t>переводы денежных средств по договорам с нерезидентами на оказание услуг;</w:t>
      </w:r>
    </w:p>
    <w:p w:rsidR="000D06DF" w:rsidRDefault="00910F72" w:rsidP="000D06DF">
      <w:pPr>
        <w:pStyle w:val="ae"/>
      </w:pPr>
      <w:r w:rsidRPr="000D06DF">
        <w:t>переводы денежных средств в пользу нерезидентов по договорам купли – продажи ценных бумаг, осуществляемых юридическими лицами;</w:t>
      </w:r>
    </w:p>
    <w:p w:rsidR="000D06DF" w:rsidRDefault="00910F72" w:rsidP="000D06DF">
      <w:pPr>
        <w:pStyle w:val="ae"/>
      </w:pPr>
      <w:r w:rsidRPr="000D06DF">
        <w:t>переводы денежных средств со счетов юридических лиц – резидентов в пользу нерезидентов, не являющихся сторонами по внешнеторговым контрактам;</w:t>
      </w:r>
    </w:p>
    <w:p w:rsidR="000D06DF" w:rsidRDefault="00910F72" w:rsidP="000D06DF">
      <w:pPr>
        <w:pStyle w:val="ae"/>
      </w:pPr>
      <w:r w:rsidRPr="000D06DF">
        <w:t>поступления денежных средств на счета резидентов от нерезидентов за товары, продаваемые на территории РФ;</w:t>
      </w:r>
    </w:p>
    <w:p w:rsidR="000D06DF" w:rsidRDefault="00910F72" w:rsidP="000D06DF">
      <w:pPr>
        <w:pStyle w:val="ae"/>
      </w:pPr>
      <w:r w:rsidRPr="000D06DF">
        <w:t xml:space="preserve">операции физических лиц </w:t>
      </w:r>
      <w:r w:rsidR="003449AD" w:rsidRPr="000D06DF">
        <w:t>с наличной иностранной валютой.</w:t>
      </w:r>
    </w:p>
    <w:p w:rsidR="000D06DF" w:rsidRDefault="00910F72" w:rsidP="000D06DF">
      <w:pPr>
        <w:pStyle w:val="ae"/>
      </w:pPr>
      <w:r w:rsidRPr="000D06DF">
        <w:t>Соответствие порядка фиксирования информации по подозрительным операциям требованиям</w:t>
      </w:r>
      <w:r w:rsidR="000D06DF">
        <w:t xml:space="preserve"> </w:t>
      </w:r>
      <w:r w:rsidRPr="000D06DF">
        <w:t xml:space="preserve">и оперативность направления </w:t>
      </w:r>
      <w:r w:rsidR="004F38DF" w:rsidRPr="000D06DF">
        <w:t>сообщений в СМБО</w:t>
      </w:r>
      <w:r w:rsidRPr="000D06DF">
        <w:t>.</w:t>
      </w:r>
    </w:p>
    <w:p w:rsidR="00E96B72" w:rsidRPr="000D06DF" w:rsidRDefault="00A85312" w:rsidP="000D06DF">
      <w:pPr>
        <w:pStyle w:val="ae"/>
      </w:pPr>
      <w:r w:rsidRPr="000D06DF">
        <w:t xml:space="preserve">При проведении экспертизы данного направления осуществляется проверка кассовых реестров и анализ </w:t>
      </w:r>
      <w:r w:rsidR="00653071" w:rsidRPr="000D06DF">
        <w:t xml:space="preserve">международных расчетов филиала Банка. </w:t>
      </w:r>
      <w:r w:rsidR="00E96B72" w:rsidRPr="000D06DF">
        <w:t>Р</w:t>
      </w:r>
      <w:r w:rsidR="00653071" w:rsidRPr="000D06DF">
        <w:t>ассматривается целесообразно</w:t>
      </w:r>
      <w:r w:rsidR="00FE5CF4">
        <w:t xml:space="preserve"> точки</w:t>
      </w:r>
      <w:r w:rsidR="00653071" w:rsidRPr="000D06DF">
        <w:t xml:space="preserve"> зрения выявления слабых мест и устранения выявленных ими нарушений х вопросов; сосредоточены работники, не «Отчет о валютных операциях, осуществляемых по банковским счетам клиентов»</w:t>
      </w:r>
      <w:r w:rsidR="000D06DF">
        <w:t xml:space="preserve"> </w:t>
      </w:r>
      <w:r w:rsidR="00653071" w:rsidRPr="000D06DF">
        <w:t>(форма № 0409664), формируемый на основании информации,</w:t>
      </w:r>
      <w:r w:rsidR="000D06DF">
        <w:t xml:space="preserve"> </w:t>
      </w:r>
      <w:r w:rsidR="00653071" w:rsidRPr="000D06DF">
        <w:t xml:space="preserve">содержащейся в базе данных по валютным операциям. </w:t>
      </w:r>
      <w:r w:rsidR="00E96B72" w:rsidRPr="000D06DF">
        <w:t xml:space="preserve">Указанные </w:t>
      </w:r>
      <w:r w:rsidR="00653071" w:rsidRPr="000D06DF">
        <w:t>данные аккумулируются филиалом в электронном виде, а также в составе бух</w:t>
      </w:r>
      <w:r w:rsidR="00E96B72" w:rsidRPr="000D06DF">
        <w:t>галтерской отчетности и документации клиентов.</w:t>
      </w:r>
    </w:p>
    <w:p w:rsidR="000D06DF" w:rsidRDefault="00653071" w:rsidP="000D06DF">
      <w:pPr>
        <w:pStyle w:val="ae"/>
      </w:pPr>
      <w:r w:rsidRPr="000D06DF">
        <w:t xml:space="preserve">При </w:t>
      </w:r>
      <w:r w:rsidR="003449AD" w:rsidRPr="000D06DF">
        <w:t xml:space="preserve">анализе </w:t>
      </w:r>
      <w:r w:rsidRPr="000D06DF">
        <w:t>отчетности о валютных операциях клиентов в ряде банков применяется система регламентирующих ограничений:</w:t>
      </w:r>
    </w:p>
    <w:p w:rsidR="000D06DF" w:rsidRDefault="00653071" w:rsidP="000D06DF">
      <w:pPr>
        <w:pStyle w:val="ae"/>
      </w:pPr>
      <w:r w:rsidRPr="000D06DF">
        <w:t>- объем операций по валютному коду должен составлять не менее 20 млн. рублей (эквивалент в каждой рассматриваемой инвалюте);</w:t>
      </w:r>
    </w:p>
    <w:p w:rsidR="000D06DF" w:rsidRDefault="00653071" w:rsidP="000D06DF">
      <w:pPr>
        <w:pStyle w:val="ae"/>
      </w:pPr>
      <w:r w:rsidRPr="000D06DF">
        <w:t>- анализ операций резидентов в иностранной валюте (раздел I формы № 0409664) целесообразно проводить по сделкам, связанным со списанием средств со счетов клиентов;</w:t>
      </w:r>
    </w:p>
    <w:p w:rsidR="000D06DF" w:rsidRDefault="00653071" w:rsidP="000D06DF">
      <w:pPr>
        <w:pStyle w:val="ae"/>
      </w:pPr>
      <w:r w:rsidRPr="000D06DF">
        <w:t>- мониторинг операций нерезидентов в валюте РФ (раздел II формы № 0409664) необходимо осуществлять по операциям, связанным с зачислением денежных средств на счета клиентов;</w:t>
      </w:r>
    </w:p>
    <w:p w:rsidR="000D06DF" w:rsidRDefault="00653071" w:rsidP="000D06DF">
      <w:pPr>
        <w:pStyle w:val="ae"/>
      </w:pPr>
      <w:r w:rsidRPr="000D06DF">
        <w:t>- экспертиза должна проводиться только по случаям движения средств по счетам и кодам валютных операций, отклонения от значений предыдущего периода</w:t>
      </w:r>
      <w:r w:rsidR="000D06DF">
        <w:t xml:space="preserve"> </w:t>
      </w:r>
      <w:r w:rsidRPr="000D06DF">
        <w:t>которых составляют 20 и более процентов;</w:t>
      </w:r>
    </w:p>
    <w:p w:rsidR="000D06DF" w:rsidRDefault="00653071" w:rsidP="000D06DF">
      <w:pPr>
        <w:pStyle w:val="ae"/>
      </w:pPr>
      <w:r w:rsidRPr="000D06DF">
        <w:t>- повышенное внимание должно</w:t>
      </w:r>
      <w:r w:rsidR="000D06DF">
        <w:t xml:space="preserve"> </w:t>
      </w:r>
      <w:r w:rsidRPr="000D06DF">
        <w:t>уделяться внешнеторговым сделкам с нерезидентами, зарегистрированными в</w:t>
      </w:r>
      <w:r w:rsidR="000D06DF">
        <w:t xml:space="preserve"> </w:t>
      </w:r>
      <w:r w:rsidRPr="000D06DF">
        <w:t xml:space="preserve">оффшорных зонах и </w:t>
      </w:r>
      <w:r w:rsidR="00E45A49" w:rsidRPr="000D06DF">
        <w:t>государствах, представляющих риск для международной финансовой системы.</w:t>
      </w:r>
    </w:p>
    <w:p w:rsidR="000D06DF" w:rsidRDefault="00E45A49" w:rsidP="000D06DF">
      <w:pPr>
        <w:pStyle w:val="ae"/>
      </w:pPr>
      <w:r w:rsidRPr="000D06DF">
        <w:t>В 1 квартале 2010 года FATF</w:t>
      </w:r>
      <w:r w:rsidR="000D06DF">
        <w:t xml:space="preserve"> </w:t>
      </w:r>
      <w:r w:rsidRPr="000D06DF">
        <w:t>был составлен очередной список государств, представляющих риск для международной финансовой системы. Все страны такого рода были разбиты на три категории, при этом самым опасным государством является только Иран. В отношении указанной страны FATF призывает принимать контрмеры. Во вторую категорию отнесены страны в чьих национальных системах ПОД/ФТ имеются значительные недостатки, при этом не разработан план по устранению недостатков.</w:t>
      </w:r>
      <w:r w:rsidR="000D06DF">
        <w:t xml:space="preserve"> </w:t>
      </w:r>
      <w:r w:rsidRPr="000D06DF">
        <w:t xml:space="preserve">К их числу отнесены: Ангола, КНДР, Эквадор и Эфиопия. В категорию стран имевших существенные недостатки, но предпринявших определенные усилия для их корректировки относятся: Пакистан, Сан-Томе и Принсипи и Туркмения. Отдельным списком идут страны </w:t>
      </w:r>
      <w:r w:rsidR="00805B73" w:rsidRPr="000D06DF">
        <w:t>имеющие недостатки в национальных режимах и выразившие готовность их совершенствовать.</w:t>
      </w:r>
    </w:p>
    <w:p w:rsidR="000D06DF" w:rsidRDefault="00653071" w:rsidP="000D06DF">
      <w:pPr>
        <w:pStyle w:val="ae"/>
      </w:pPr>
      <w:r w:rsidRPr="000D06DF">
        <w:t>Именно в этих случаях возникает опасность неконтролируемого вывода капитала за пределы РФ. Практика показывает, что в период финансового кризиса объем внешне-торговых операций, связанных с неконтролируемым вывозом капитала за границы РФ, может возрасти.</w:t>
      </w:r>
    </w:p>
    <w:p w:rsidR="000D06DF" w:rsidRDefault="00955EE7" w:rsidP="000D06DF">
      <w:pPr>
        <w:pStyle w:val="ae"/>
      </w:pPr>
      <w:r w:rsidRPr="000D06DF">
        <w:t>При этом необходимо уделять внимание не только клиентам, осуществляющим внешнеэконо</w:t>
      </w:r>
      <w:r w:rsidR="006D318B" w:rsidRPr="000D06DF">
        <w:t>м</w:t>
      </w:r>
      <w:r w:rsidRPr="000D06DF">
        <w:t>ические операции</w:t>
      </w:r>
      <w:r w:rsidR="000D06DF">
        <w:t xml:space="preserve"> </w:t>
      </w:r>
      <w:r w:rsidRPr="000D06DF">
        <w:t>с представ</w:t>
      </w:r>
      <w:r w:rsidR="006D318B" w:rsidRPr="000D06DF">
        <w:t>ителями вышеуказанных стран. Так, по мнению главы МВД России – Рашида Нургалиева трансграничные организованные преступные группировки могут использовать даже возможные прорехи в Таможенном союзе: Белоруссии, Казахстана и России</w:t>
      </w:r>
      <w:r w:rsidR="00E41701" w:rsidRPr="000D06DF">
        <w:footnoteReference w:id="2"/>
      </w:r>
      <w:r w:rsidR="006D318B" w:rsidRPr="000D06DF">
        <w:t>.</w:t>
      </w:r>
    </w:p>
    <w:p w:rsidR="000D06DF" w:rsidRDefault="00653071" w:rsidP="000D06DF">
      <w:pPr>
        <w:pStyle w:val="ae"/>
      </w:pPr>
      <w:r w:rsidRPr="000D06DF">
        <w:t>Как показывает практика, к наиболее распространенным ошибкам относятся:</w:t>
      </w:r>
    </w:p>
    <w:p w:rsidR="000D06DF" w:rsidRDefault="00E96B72" w:rsidP="000D06DF">
      <w:pPr>
        <w:pStyle w:val="ae"/>
      </w:pPr>
      <w:r w:rsidRPr="000D06DF">
        <w:t xml:space="preserve">Выявление </w:t>
      </w:r>
      <w:r w:rsidR="006D318B" w:rsidRPr="000D06DF">
        <w:t xml:space="preserve">проверяющими </w:t>
      </w:r>
      <w:r w:rsidRPr="000D06DF">
        <w:t>операций, информация о которых не направлялась в СМБО;</w:t>
      </w:r>
    </w:p>
    <w:p w:rsidR="000D06DF" w:rsidRDefault="00653071" w:rsidP="000D06DF">
      <w:pPr>
        <w:pStyle w:val="ae"/>
      </w:pPr>
      <w:r w:rsidRPr="000D06DF">
        <w:t>Описание критериев на основании которых банк квалифицировал операции в качестве подозрительных в поле</w:t>
      </w:r>
      <w:r w:rsidR="000D06DF">
        <w:t xml:space="preserve"> </w:t>
      </w:r>
      <w:r w:rsidRPr="000D06DF">
        <w:t>«Descr» не соответствовало коду признака, указанному в другом поле ОЭС;</w:t>
      </w:r>
    </w:p>
    <w:p w:rsidR="000D06DF" w:rsidRDefault="004F04B2" w:rsidP="000D06DF">
      <w:pPr>
        <w:pStyle w:val="ae"/>
      </w:pPr>
      <w:r w:rsidRPr="000D06DF">
        <w:t>Наличие на обслуживании в филиале клиентов – физических лиц, осуществляющих операции в крупных объемах, информация о которых направляется в Росфинмониторинг, свидетельствует о необходимости усилени</w:t>
      </w:r>
      <w:r w:rsidR="00E96B72" w:rsidRPr="000D06DF">
        <w:t>я контроля над такими клиентами.</w:t>
      </w:r>
    </w:p>
    <w:p w:rsidR="000D06DF" w:rsidRDefault="00F85C5A" w:rsidP="000D06DF">
      <w:pPr>
        <w:pStyle w:val="ae"/>
      </w:pPr>
      <w:r w:rsidRPr="000D06DF">
        <w:t>Следует отметить, что в настоящее время</w:t>
      </w:r>
      <w:r w:rsidR="000D06DF">
        <w:t xml:space="preserve"> </w:t>
      </w:r>
      <w:r w:rsidRPr="000D06DF">
        <w:t>в Государственной Думе обсуждается документ, который предоставит банкам возможность закрывать счета клиентов при осуществлении ими подозрительных операций.</w:t>
      </w:r>
      <w:r w:rsidR="000D06DF">
        <w:t xml:space="preserve"> </w:t>
      </w:r>
      <w:r w:rsidRPr="000D06DF">
        <w:t>Вступление в силу указанного документа не только будет полностью соответствовать требованиям FATF, но и существенно облегчит взаимодействие банков с клиентами, т.к. отпадет необходимость использовать различного рода обходные маневры: от уговоров до установления заградительных тарифов на продолжение обслуживания.</w:t>
      </w:r>
    </w:p>
    <w:p w:rsidR="000D06DF" w:rsidRDefault="00910F72" w:rsidP="000D06DF">
      <w:pPr>
        <w:pStyle w:val="ae"/>
      </w:pPr>
      <w:r w:rsidRPr="000D06DF">
        <w:t>Соблюдение требований Банка России к обучению</w:t>
      </w:r>
      <w:r w:rsidR="000D06DF">
        <w:t xml:space="preserve"> </w:t>
      </w:r>
      <w:r w:rsidRPr="000D06DF">
        <w:t>персонала по ПОД/ФТ</w:t>
      </w:r>
      <w:r w:rsidR="00E96B72" w:rsidRPr="000D06DF">
        <w:t>.</w:t>
      </w:r>
      <w:r w:rsidR="000D06DF">
        <w:t xml:space="preserve"> </w:t>
      </w:r>
      <w:r w:rsidRPr="000D06DF">
        <w:t>При проведении мониторинга данного направления следует обращать особое внимание прежде всего на следующие факты</w:t>
      </w:r>
      <w:r w:rsidR="00183D2E" w:rsidRPr="000D06DF">
        <w:t>:</w:t>
      </w:r>
    </w:p>
    <w:p w:rsidR="000D06DF" w:rsidRDefault="00910F72" w:rsidP="000D06DF">
      <w:pPr>
        <w:pStyle w:val="ae"/>
      </w:pPr>
      <w:r w:rsidRPr="000D06DF">
        <w:t>Наличие в филиале (Дирекции Головного офиса)</w:t>
      </w:r>
      <w:r w:rsidR="000D06DF">
        <w:t xml:space="preserve"> </w:t>
      </w:r>
      <w:r w:rsidRPr="000D06DF">
        <w:t>утвержденных планов обучения персонала и перечня подразделений, сотрудники</w:t>
      </w:r>
      <w:r w:rsidR="003449AD" w:rsidRPr="000D06DF">
        <w:t xml:space="preserve"> которых должны пройти обучение;</w:t>
      </w:r>
    </w:p>
    <w:p w:rsidR="000D06DF" w:rsidRDefault="00910F72" w:rsidP="000D06DF">
      <w:pPr>
        <w:pStyle w:val="ae"/>
      </w:pPr>
      <w:r w:rsidRPr="000D06DF">
        <w:t>Выполнение требований по проведению всех видов инструктажей</w:t>
      </w:r>
      <w:r w:rsidR="00183D2E" w:rsidRPr="000D06DF">
        <w:t xml:space="preserve"> и проверок знаний</w:t>
      </w:r>
    </w:p>
    <w:p w:rsidR="000D06DF" w:rsidRDefault="00910F72" w:rsidP="000D06DF">
      <w:pPr>
        <w:pStyle w:val="ae"/>
      </w:pPr>
      <w:r w:rsidRPr="000D06DF">
        <w:t>Наличие у Ответственного сотрудника филиала (подразделения Головного Офиса) и в Управлении персонала документов, подтверждающих прохождение сотрудниками всех видов обучения и проверки знаний</w:t>
      </w:r>
      <w:r w:rsidR="000D06DF">
        <w:t xml:space="preserve"> </w:t>
      </w:r>
      <w:r w:rsidRPr="000D06DF">
        <w:t>Подтверждение факта наличия оригинала (копии) документа в личном деле сотрудника.</w:t>
      </w:r>
    </w:p>
    <w:p w:rsidR="000D06DF" w:rsidRDefault="004F04B2" w:rsidP="000D06DF">
      <w:pPr>
        <w:pStyle w:val="ae"/>
      </w:pPr>
      <w:r w:rsidRPr="000D06DF">
        <w:t>Как показывает практика, наиболее распространенными ошибками в данном направлении являются:</w:t>
      </w:r>
    </w:p>
    <w:p w:rsidR="000D06DF" w:rsidRDefault="004F04B2" w:rsidP="000D06DF">
      <w:pPr>
        <w:pStyle w:val="ae"/>
      </w:pPr>
      <w:r w:rsidRPr="000D06DF">
        <w:t>Отсутствие в перечне структурных подразделений Головного офиса или</w:t>
      </w:r>
      <w:r w:rsidR="000D06DF">
        <w:t xml:space="preserve"> </w:t>
      </w:r>
      <w:r w:rsidRPr="000D06DF">
        <w:t>филиала Банка, сотрудники которых должны пройти обучени</w:t>
      </w:r>
      <w:r w:rsidR="003449AD" w:rsidRPr="000D06DF">
        <w:t>е по ПОД/ФТ (Кредитная дирекция</w:t>
      </w:r>
      <w:r w:rsidRPr="000D06DF">
        <w:t>, Казначейство, Управляющий филиалом, юрисконсульт)</w:t>
      </w:r>
      <w:r w:rsidR="00AE3C02" w:rsidRPr="000D06DF">
        <w:t>;</w:t>
      </w:r>
    </w:p>
    <w:p w:rsidR="000D06DF" w:rsidRDefault="00AE3C02" w:rsidP="000D06DF">
      <w:pPr>
        <w:pStyle w:val="ae"/>
      </w:pPr>
      <w:r w:rsidRPr="000D06DF">
        <w:t>Несвоевременное внесение изменений в перечень структурных подразделений филиала, сотрудники которых должны пройти обучение по ПОД/ФТ, отражающих изменение организационно-штатной структуры филиала;</w:t>
      </w:r>
    </w:p>
    <w:p w:rsidR="000D06DF" w:rsidRDefault="00AE3C02" w:rsidP="000D06DF">
      <w:pPr>
        <w:pStyle w:val="ae"/>
      </w:pPr>
      <w:r w:rsidRPr="000D06DF">
        <w:t>Осуществление плановых инструктажей и проверок знаний, не включенных в ежегодный план обучения;</w:t>
      </w:r>
      <w:r w:rsidR="000D06DF">
        <w:t xml:space="preserve"> </w:t>
      </w:r>
      <w:r w:rsidRPr="000D06DF">
        <w:t>Несоблюдение плана обучения в части тематики обучающих мероприятий;</w:t>
      </w:r>
    </w:p>
    <w:p w:rsidR="000D06DF" w:rsidRDefault="00AE3C02" w:rsidP="000D06DF">
      <w:pPr>
        <w:pStyle w:val="ae"/>
      </w:pPr>
      <w:r w:rsidRPr="000D06DF">
        <w:t>Проведение вводного инструктажа значительно позднее даты приема сотрудника на работу;</w:t>
      </w:r>
    </w:p>
    <w:p w:rsidR="000D06DF" w:rsidRDefault="00A95DCF" w:rsidP="000D06DF">
      <w:pPr>
        <w:pStyle w:val="ae"/>
      </w:pPr>
      <w:r w:rsidRPr="000D06DF">
        <w:t>О</w:t>
      </w:r>
      <w:r w:rsidR="00AE3C02" w:rsidRPr="000D06DF">
        <w:t>тсутствие в личных делах сотрудников документов, подтверждающих прохождение инструктажей по ПОД/ФТ.</w:t>
      </w:r>
    </w:p>
    <w:p w:rsidR="000D06DF" w:rsidRDefault="00AE3C02" w:rsidP="000D06DF">
      <w:pPr>
        <w:pStyle w:val="ae"/>
      </w:pPr>
      <w:r w:rsidRPr="000D06DF">
        <w:t>Завершающим этапом мониторинга является к</w:t>
      </w:r>
      <w:r w:rsidR="00910F72" w:rsidRPr="000D06DF">
        <w:t>омплексная оценка деятельности филиала</w:t>
      </w:r>
      <w:r w:rsidRPr="000D06DF">
        <w:t xml:space="preserve"> по рассматриваемому направлению. </w:t>
      </w:r>
      <w:r w:rsidR="00E86298" w:rsidRPr="000D06DF">
        <w:t>В ряде кредитных организаций применяется метод скоринга при котором фил</w:t>
      </w:r>
      <w:r w:rsidR="00910F72" w:rsidRPr="000D06DF">
        <w:t>иалу (структурному подразделению) проставляется оценка от 1 до 10 баллов.</w:t>
      </w:r>
    </w:p>
    <w:p w:rsidR="00FE5CF4" w:rsidRDefault="00FE5CF4" w:rsidP="000D06DF">
      <w:pPr>
        <w:pStyle w:val="ae"/>
      </w:pPr>
    </w:p>
    <w:p w:rsidR="000D06DF" w:rsidRDefault="00910F72" w:rsidP="000D06DF">
      <w:pPr>
        <w:pStyle w:val="ae"/>
      </w:pPr>
      <w:r w:rsidRPr="000D06DF">
        <w:t xml:space="preserve">Оf = </w:t>
      </w:r>
      <w:r w:rsidRPr="000D06DF">
        <w:sym w:font="Symbol" w:char="F0E5"/>
      </w:r>
      <w:r w:rsidRPr="000D06DF">
        <w:t>(Оn*Kn)*D, где</w:t>
      </w:r>
    </w:p>
    <w:p w:rsidR="00FE5CF4" w:rsidRDefault="00FE5CF4" w:rsidP="000D06DF">
      <w:pPr>
        <w:pStyle w:val="ae"/>
      </w:pPr>
    </w:p>
    <w:p w:rsidR="00910F72" w:rsidRPr="000D06DF" w:rsidRDefault="00910F72" w:rsidP="000D06DF">
      <w:pPr>
        <w:pStyle w:val="ae"/>
      </w:pPr>
      <w:r w:rsidRPr="000D06DF">
        <w:t>Оf – итоговая оценка филиала;</w:t>
      </w:r>
    </w:p>
    <w:p w:rsidR="000D06DF" w:rsidRDefault="00910F72" w:rsidP="000D06DF">
      <w:pPr>
        <w:pStyle w:val="ae"/>
      </w:pPr>
      <w:r w:rsidRPr="000D06DF">
        <w:t>Оn – оценка филиала по конкретному направлению мониторинга</w:t>
      </w:r>
    </w:p>
    <w:p w:rsidR="00910F72" w:rsidRPr="000D06DF" w:rsidRDefault="00910F72" w:rsidP="000D06DF">
      <w:pPr>
        <w:pStyle w:val="ae"/>
      </w:pPr>
      <w:r w:rsidRPr="000D06DF">
        <w:t>Кn – весовой коэффицент, определяющий долю значения оценки по конкретному направлению мониторинга</w:t>
      </w:r>
    </w:p>
    <w:p w:rsidR="000D06DF" w:rsidRDefault="00910F72" w:rsidP="000D06DF">
      <w:pPr>
        <w:pStyle w:val="ae"/>
      </w:pPr>
      <w:r w:rsidRPr="000D06DF">
        <w:t>D</w:t>
      </w:r>
      <w:r w:rsidR="0068308F" w:rsidRPr="000D06DF">
        <w:t xml:space="preserve"> -</w:t>
      </w:r>
      <w:r w:rsidR="000D06DF">
        <w:t xml:space="preserve"> </w:t>
      </w:r>
      <w:r w:rsidRPr="000D06DF">
        <w:t>коэффициент</w:t>
      </w:r>
      <w:r w:rsidR="0068308F" w:rsidRPr="000D06DF">
        <w:t xml:space="preserve"> дисконта</w:t>
      </w:r>
      <w:r w:rsidRPr="000D06DF">
        <w:t xml:space="preserve">, понижающий общую оценку при применении к Банку мер воздействия со стороны Банка России или других государственных надзорных органов по результатам </w:t>
      </w:r>
      <w:r w:rsidR="0068308F" w:rsidRPr="000D06DF">
        <w:t xml:space="preserve">ранее проведенных </w:t>
      </w:r>
      <w:r w:rsidRPr="000D06DF">
        <w:t>проверок филиала.</w:t>
      </w:r>
    </w:p>
    <w:p w:rsidR="000D06DF" w:rsidRDefault="00910F72" w:rsidP="000D06DF">
      <w:pPr>
        <w:pStyle w:val="ae"/>
      </w:pPr>
      <w:r w:rsidRPr="000D06DF">
        <w:t>D</w:t>
      </w:r>
      <w:r w:rsidR="0068308F" w:rsidRPr="000D06DF">
        <w:t xml:space="preserve"> = 0,7 -</w:t>
      </w:r>
      <w:r w:rsidRPr="000D06DF">
        <w:t xml:space="preserve"> в случае, если по результатам проверки филиала территориальным учреждением Банка России</w:t>
      </w:r>
      <w:r w:rsidR="000D06DF">
        <w:t xml:space="preserve"> </w:t>
      </w:r>
      <w:r w:rsidRPr="000D06DF">
        <w:t>к Банку применены штрафные санкции;</w:t>
      </w:r>
    </w:p>
    <w:p w:rsidR="000D06DF" w:rsidRDefault="00910F72" w:rsidP="000D06DF">
      <w:pPr>
        <w:pStyle w:val="ae"/>
      </w:pPr>
      <w:r w:rsidRPr="000D06DF">
        <w:t xml:space="preserve">D </w:t>
      </w:r>
      <w:r w:rsidR="0068308F" w:rsidRPr="000D06DF">
        <w:t>=</w:t>
      </w:r>
      <w:r w:rsidRPr="000D06DF">
        <w:t xml:space="preserve"> 0,8 </w:t>
      </w:r>
      <w:r w:rsidR="0068308F" w:rsidRPr="000D06DF">
        <w:t>-</w:t>
      </w:r>
      <w:r w:rsidRPr="000D06DF">
        <w:t xml:space="preserve"> в случае, если по результатам проверок филиала территориальным учреждением Банка России или иных государственных органов получено предписание о принятии мер по устранению допущенных нарушений;</w:t>
      </w:r>
    </w:p>
    <w:p w:rsidR="000D06DF" w:rsidRDefault="00910F72" w:rsidP="000D06DF">
      <w:pPr>
        <w:pStyle w:val="ae"/>
      </w:pPr>
      <w:r w:rsidRPr="000D06DF">
        <w:t xml:space="preserve">D = 1 </w:t>
      </w:r>
      <w:r w:rsidR="0068308F" w:rsidRPr="000D06DF">
        <w:t>-</w:t>
      </w:r>
      <w:r w:rsidRPr="000D06DF">
        <w:t xml:space="preserve"> во всех остальных случаях.</w:t>
      </w:r>
    </w:p>
    <w:p w:rsidR="000D06DF" w:rsidRDefault="00910F72" w:rsidP="000D06DF">
      <w:pPr>
        <w:pStyle w:val="ae"/>
      </w:pPr>
      <w:r w:rsidRPr="000D06DF">
        <w:t xml:space="preserve">При проставлении оценки филиалы и подразделения банка </w:t>
      </w:r>
      <w:r w:rsidR="0068308F" w:rsidRPr="000D06DF">
        <w:t>могут быть подразделены</w:t>
      </w:r>
      <w:r w:rsidRPr="000D06DF">
        <w:t xml:space="preserve"> на группы.</w:t>
      </w:r>
    </w:p>
    <w:p w:rsidR="000D06DF" w:rsidRDefault="00910F72" w:rsidP="000D06DF">
      <w:pPr>
        <w:pStyle w:val="ae"/>
      </w:pPr>
      <w:r w:rsidRPr="000D06DF">
        <w:t>Филиалы и подразделения с высоким уровнем риска выявления нарушений по ПОД/ФТ. Оценка по направлению 0-4 балла.</w:t>
      </w:r>
    </w:p>
    <w:p w:rsidR="000D06DF" w:rsidRDefault="00910F72" w:rsidP="000D06DF">
      <w:pPr>
        <w:pStyle w:val="ae"/>
      </w:pPr>
      <w:r w:rsidRPr="000D06DF">
        <w:t>Филиалы и подразделения со средним уровнем риска. Оценка по направлению 5-8 баллов.</w:t>
      </w:r>
    </w:p>
    <w:p w:rsidR="000D06DF" w:rsidRDefault="00910F72" w:rsidP="000D06DF">
      <w:pPr>
        <w:pStyle w:val="ae"/>
      </w:pPr>
      <w:r w:rsidRPr="000D06DF">
        <w:t>Филиалы и подразделения с низким уровнем риска. Оценка по направлению 9– 10 баллов.</w:t>
      </w:r>
    </w:p>
    <w:p w:rsidR="000D06DF" w:rsidRDefault="00910F72" w:rsidP="000D06DF">
      <w:pPr>
        <w:pStyle w:val="ae"/>
      </w:pPr>
      <w:r w:rsidRPr="000D06DF">
        <w:t>Проставление каждому филиалу (структурному подразделению Головного офиса) оценки (по методике приведенной в прилагаемой таблице)</w:t>
      </w:r>
      <w:r w:rsidR="000D06DF">
        <w:t xml:space="preserve"> </w:t>
      </w:r>
      <w:r w:rsidRPr="000D06DF">
        <w:t>на основе данных мониторинга позволит СВК в будущем сконцентрировать контрольные усилия на наиболее высокорисковых подразделениях по порядку организации работы по ПОД/ФТ.</w:t>
      </w:r>
    </w:p>
    <w:p w:rsidR="00910F72" w:rsidRPr="000D06DF" w:rsidRDefault="00910F72" w:rsidP="000D06DF">
      <w:pPr>
        <w:pStyle w:val="ae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689"/>
        <w:gridCol w:w="5138"/>
        <w:gridCol w:w="1377"/>
      </w:tblGrid>
      <w:tr w:rsidR="0068308F" w:rsidRPr="000D06DF" w:rsidTr="00FE5CF4">
        <w:tc>
          <w:tcPr>
            <w:tcW w:w="828" w:type="dxa"/>
          </w:tcPr>
          <w:p w:rsidR="0068308F" w:rsidRPr="000D06DF" w:rsidRDefault="0068308F" w:rsidP="00FE5CF4">
            <w:pPr>
              <w:pStyle w:val="af"/>
            </w:pPr>
            <w:r w:rsidRPr="000D06DF">
              <w:t>N п/п</w:t>
            </w:r>
          </w:p>
        </w:tc>
        <w:tc>
          <w:tcPr>
            <w:tcW w:w="1689" w:type="dxa"/>
          </w:tcPr>
          <w:p w:rsidR="0068308F" w:rsidRPr="000D06DF" w:rsidRDefault="0068308F" w:rsidP="00FE5CF4">
            <w:pPr>
              <w:pStyle w:val="af"/>
            </w:pPr>
            <w:r w:rsidRPr="000D06DF">
              <w:t>Направление</w:t>
            </w:r>
            <w:r w:rsidR="00FE5CF4">
              <w:t xml:space="preserve"> </w:t>
            </w:r>
            <w:r w:rsidRPr="000D06DF">
              <w:t>мониторинга</w:t>
            </w:r>
          </w:p>
        </w:tc>
        <w:tc>
          <w:tcPr>
            <w:tcW w:w="5138" w:type="dxa"/>
          </w:tcPr>
          <w:p w:rsidR="0068308F" w:rsidRPr="000D06DF" w:rsidRDefault="0068308F" w:rsidP="00FE5CF4">
            <w:pPr>
              <w:pStyle w:val="af"/>
            </w:pPr>
            <w:r w:rsidRPr="000D06DF">
              <w:t xml:space="preserve">Классификация филиалов по группам </w:t>
            </w:r>
          </w:p>
        </w:tc>
        <w:tc>
          <w:tcPr>
            <w:tcW w:w="1377" w:type="dxa"/>
          </w:tcPr>
          <w:p w:rsidR="0068308F" w:rsidRPr="000D06DF" w:rsidRDefault="0068308F" w:rsidP="00FE5CF4">
            <w:pPr>
              <w:pStyle w:val="af"/>
            </w:pPr>
            <w:r w:rsidRPr="000D06DF">
              <w:t>Весовой коэф</w:t>
            </w:r>
            <w:r w:rsidR="00FE5CF4">
              <w:t>ф</w:t>
            </w:r>
            <w:r w:rsidRPr="000D06DF">
              <w:t>ициент</w:t>
            </w:r>
          </w:p>
        </w:tc>
      </w:tr>
      <w:tr w:rsidR="0068308F" w:rsidRPr="000D06DF" w:rsidTr="00FE5CF4">
        <w:tc>
          <w:tcPr>
            <w:tcW w:w="828" w:type="dxa"/>
          </w:tcPr>
          <w:p w:rsidR="0068308F" w:rsidRPr="000D06DF" w:rsidRDefault="0068308F" w:rsidP="00FE5CF4">
            <w:pPr>
              <w:pStyle w:val="af"/>
            </w:pPr>
            <w:r w:rsidRPr="000D06DF">
              <w:t>I</w:t>
            </w:r>
          </w:p>
        </w:tc>
        <w:tc>
          <w:tcPr>
            <w:tcW w:w="1689" w:type="dxa"/>
          </w:tcPr>
          <w:p w:rsidR="0068308F" w:rsidRPr="000D06DF" w:rsidRDefault="0068308F" w:rsidP="00FE5CF4">
            <w:pPr>
              <w:pStyle w:val="af"/>
            </w:pPr>
            <w:r w:rsidRPr="000D06DF">
              <w:t>II</w:t>
            </w:r>
          </w:p>
        </w:tc>
        <w:tc>
          <w:tcPr>
            <w:tcW w:w="5138" w:type="dxa"/>
          </w:tcPr>
          <w:p w:rsidR="0068308F" w:rsidRPr="000D06DF" w:rsidRDefault="0068308F" w:rsidP="00FE5CF4">
            <w:pPr>
              <w:pStyle w:val="af"/>
            </w:pPr>
          </w:p>
        </w:tc>
        <w:tc>
          <w:tcPr>
            <w:tcW w:w="1377" w:type="dxa"/>
          </w:tcPr>
          <w:p w:rsidR="0068308F" w:rsidRPr="000D06DF" w:rsidRDefault="0068308F" w:rsidP="00FE5CF4">
            <w:pPr>
              <w:pStyle w:val="af"/>
            </w:pPr>
            <w:r w:rsidRPr="000D06DF">
              <w:t>IV</w:t>
            </w:r>
          </w:p>
        </w:tc>
      </w:tr>
      <w:tr w:rsidR="0068308F" w:rsidRPr="000D06DF" w:rsidTr="00FE5CF4">
        <w:trPr>
          <w:cantSplit/>
        </w:trPr>
        <w:tc>
          <w:tcPr>
            <w:tcW w:w="828" w:type="dxa"/>
          </w:tcPr>
          <w:p w:rsidR="0068308F" w:rsidRPr="000D06DF" w:rsidRDefault="0068308F" w:rsidP="00FE5CF4">
            <w:pPr>
              <w:pStyle w:val="af"/>
            </w:pPr>
            <w:r w:rsidRPr="000D06DF">
              <w:t>1</w:t>
            </w:r>
          </w:p>
        </w:tc>
        <w:tc>
          <w:tcPr>
            <w:tcW w:w="1689" w:type="dxa"/>
          </w:tcPr>
          <w:p w:rsidR="0068308F" w:rsidRPr="000D06DF" w:rsidRDefault="0068308F" w:rsidP="00FE5CF4">
            <w:pPr>
              <w:pStyle w:val="af"/>
            </w:pPr>
            <w:r w:rsidRPr="000D06DF">
              <w:t xml:space="preserve">Организация системы внутреннего контроля по ПОД/ФТ </w:t>
            </w:r>
          </w:p>
        </w:tc>
        <w:tc>
          <w:tcPr>
            <w:tcW w:w="5138" w:type="dxa"/>
            <w:vMerge w:val="restart"/>
          </w:tcPr>
          <w:p w:rsidR="00F7239E" w:rsidRPr="000D06DF" w:rsidRDefault="0068308F" w:rsidP="00FE5CF4">
            <w:pPr>
              <w:pStyle w:val="af"/>
            </w:pPr>
            <w:r w:rsidRPr="000D06DF">
              <w:t xml:space="preserve">1 группа. </w:t>
            </w:r>
            <w:r w:rsidR="00F7239E" w:rsidRPr="000D06DF">
              <w:t>Наличие замечаний по 3 и более пунктам мониторинга</w:t>
            </w:r>
          </w:p>
          <w:p w:rsidR="000D06DF" w:rsidRDefault="00F7239E" w:rsidP="00FE5CF4">
            <w:pPr>
              <w:pStyle w:val="af"/>
            </w:pPr>
            <w:r w:rsidRPr="000D06DF">
              <w:t>2 группа. Наличие замечаний по 2 пунктам мониторинга</w:t>
            </w:r>
          </w:p>
          <w:p w:rsidR="0068308F" w:rsidRPr="000D06DF" w:rsidRDefault="00F7239E" w:rsidP="00FE5CF4">
            <w:pPr>
              <w:pStyle w:val="af"/>
            </w:pPr>
            <w:r w:rsidRPr="000D06DF">
              <w:t xml:space="preserve">3 группа. </w:t>
            </w:r>
            <w:r w:rsidR="009078C0" w:rsidRPr="000D06DF">
              <w:t xml:space="preserve">Наличие в деятельности филиала замечаний не более, чем по 1 пункту из приведенных в соответствующем разделе мониторинга. </w:t>
            </w:r>
          </w:p>
        </w:tc>
        <w:tc>
          <w:tcPr>
            <w:tcW w:w="1377" w:type="dxa"/>
          </w:tcPr>
          <w:p w:rsidR="0068308F" w:rsidRPr="000D06DF" w:rsidRDefault="0068308F" w:rsidP="00FE5CF4">
            <w:pPr>
              <w:pStyle w:val="af"/>
            </w:pPr>
            <w:r w:rsidRPr="000D06DF">
              <w:t>0,15</w:t>
            </w:r>
          </w:p>
        </w:tc>
      </w:tr>
      <w:tr w:rsidR="0068308F" w:rsidRPr="000D06DF" w:rsidTr="00FE5CF4">
        <w:trPr>
          <w:cantSplit/>
        </w:trPr>
        <w:tc>
          <w:tcPr>
            <w:tcW w:w="828" w:type="dxa"/>
          </w:tcPr>
          <w:p w:rsidR="0068308F" w:rsidRPr="000D06DF" w:rsidRDefault="0068308F" w:rsidP="00FE5CF4">
            <w:pPr>
              <w:pStyle w:val="af"/>
            </w:pPr>
            <w:r w:rsidRPr="000D06DF">
              <w:t>2</w:t>
            </w:r>
          </w:p>
        </w:tc>
        <w:tc>
          <w:tcPr>
            <w:tcW w:w="1689" w:type="dxa"/>
          </w:tcPr>
          <w:p w:rsidR="0068308F" w:rsidRPr="000D06DF" w:rsidRDefault="0068308F" w:rsidP="00FE5CF4">
            <w:pPr>
              <w:pStyle w:val="af"/>
            </w:pPr>
            <w:r w:rsidRPr="000D06DF">
              <w:t>Реализация принципа «Знай своего клиента»</w:t>
            </w:r>
          </w:p>
        </w:tc>
        <w:tc>
          <w:tcPr>
            <w:tcW w:w="5138" w:type="dxa"/>
            <w:vMerge/>
          </w:tcPr>
          <w:p w:rsidR="0068308F" w:rsidRPr="000D06DF" w:rsidRDefault="0068308F" w:rsidP="00FE5CF4">
            <w:pPr>
              <w:pStyle w:val="af"/>
            </w:pPr>
          </w:p>
        </w:tc>
        <w:tc>
          <w:tcPr>
            <w:tcW w:w="1377" w:type="dxa"/>
          </w:tcPr>
          <w:p w:rsidR="0068308F" w:rsidRPr="000D06DF" w:rsidRDefault="0068308F" w:rsidP="00FE5CF4">
            <w:pPr>
              <w:pStyle w:val="af"/>
            </w:pPr>
            <w:r w:rsidRPr="000D06DF">
              <w:t>0,2</w:t>
            </w:r>
          </w:p>
        </w:tc>
      </w:tr>
      <w:tr w:rsidR="0068308F" w:rsidRPr="000D06DF" w:rsidTr="00FE5CF4">
        <w:tc>
          <w:tcPr>
            <w:tcW w:w="828" w:type="dxa"/>
          </w:tcPr>
          <w:p w:rsidR="0068308F" w:rsidRPr="000D06DF" w:rsidRDefault="0068308F" w:rsidP="00FE5CF4">
            <w:pPr>
              <w:pStyle w:val="af"/>
            </w:pPr>
            <w:r w:rsidRPr="000D06DF">
              <w:t>3</w:t>
            </w:r>
          </w:p>
        </w:tc>
        <w:tc>
          <w:tcPr>
            <w:tcW w:w="1689" w:type="dxa"/>
          </w:tcPr>
          <w:p w:rsidR="0068308F" w:rsidRPr="000D06DF" w:rsidRDefault="0068308F" w:rsidP="00FE5CF4">
            <w:pPr>
              <w:pStyle w:val="af"/>
            </w:pPr>
            <w:r w:rsidRPr="000D06DF">
              <w:t xml:space="preserve">Выявление ООК </w:t>
            </w:r>
          </w:p>
        </w:tc>
        <w:tc>
          <w:tcPr>
            <w:tcW w:w="5138" w:type="dxa"/>
          </w:tcPr>
          <w:p w:rsidR="005C5833" w:rsidRPr="000D06DF" w:rsidRDefault="0068308F" w:rsidP="00FE5CF4">
            <w:pPr>
              <w:pStyle w:val="af"/>
            </w:pPr>
            <w:r w:rsidRPr="000D06DF">
              <w:t xml:space="preserve">1 группа. </w:t>
            </w:r>
            <w:r w:rsidR="005C5833" w:rsidRPr="000D06DF">
              <w:t>Наличие среди несвоевременно представленных сообщений – ООК, выявленных проверками СВК, СМБО или Банка России</w:t>
            </w:r>
          </w:p>
          <w:p w:rsidR="000D06DF" w:rsidRDefault="0068308F" w:rsidP="00FE5CF4">
            <w:pPr>
              <w:pStyle w:val="af"/>
            </w:pPr>
            <w:r w:rsidRPr="000D06DF">
              <w:t>2 группа. Количество несвоевременно выявленных ООК не превышает 5 процентов, при условии, что все ООК выявлены самими филиалом</w:t>
            </w:r>
          </w:p>
          <w:p w:rsidR="0068308F" w:rsidRPr="000D06DF" w:rsidRDefault="0068308F" w:rsidP="00FE5CF4">
            <w:pPr>
              <w:pStyle w:val="af"/>
            </w:pPr>
            <w:r w:rsidRPr="000D06DF">
              <w:t xml:space="preserve">3. группа. </w:t>
            </w:r>
            <w:r w:rsidR="005C5833" w:rsidRPr="000D06DF">
              <w:t xml:space="preserve">Отсутствие несвоевременно выявленных ООК </w:t>
            </w:r>
          </w:p>
        </w:tc>
        <w:tc>
          <w:tcPr>
            <w:tcW w:w="1377" w:type="dxa"/>
          </w:tcPr>
          <w:p w:rsidR="0068308F" w:rsidRPr="000D06DF" w:rsidRDefault="0068308F" w:rsidP="00FE5CF4">
            <w:pPr>
              <w:pStyle w:val="af"/>
            </w:pPr>
            <w:r w:rsidRPr="000D06DF">
              <w:t>0,3</w:t>
            </w:r>
          </w:p>
        </w:tc>
      </w:tr>
      <w:tr w:rsidR="0068308F" w:rsidRPr="000D06DF" w:rsidTr="00FE5CF4">
        <w:tc>
          <w:tcPr>
            <w:tcW w:w="828" w:type="dxa"/>
          </w:tcPr>
          <w:p w:rsidR="0068308F" w:rsidRPr="000D06DF" w:rsidRDefault="0068308F" w:rsidP="00FE5CF4">
            <w:pPr>
              <w:pStyle w:val="af"/>
            </w:pPr>
            <w:r w:rsidRPr="000D06DF">
              <w:t>4</w:t>
            </w:r>
          </w:p>
        </w:tc>
        <w:tc>
          <w:tcPr>
            <w:tcW w:w="1689" w:type="dxa"/>
          </w:tcPr>
          <w:p w:rsidR="0068308F" w:rsidRPr="000D06DF" w:rsidRDefault="0068308F" w:rsidP="00FE5CF4">
            <w:pPr>
              <w:pStyle w:val="af"/>
            </w:pPr>
            <w:r w:rsidRPr="000D06DF">
              <w:t xml:space="preserve">Выявление ПО, включая сомнительные операции </w:t>
            </w:r>
          </w:p>
        </w:tc>
        <w:tc>
          <w:tcPr>
            <w:tcW w:w="5138" w:type="dxa"/>
          </w:tcPr>
          <w:p w:rsidR="000D06DF" w:rsidRDefault="0068308F" w:rsidP="00FE5CF4">
            <w:pPr>
              <w:pStyle w:val="af"/>
            </w:pPr>
            <w:r w:rsidRPr="000D06DF">
              <w:t xml:space="preserve">1 группа. </w:t>
            </w:r>
            <w:r w:rsidR="005C5833" w:rsidRPr="000D06DF">
              <w:t>Количество выявленных ПО превышает 10 процентов от общего числа операций</w:t>
            </w:r>
          </w:p>
          <w:p w:rsidR="000D06DF" w:rsidRDefault="005C5833" w:rsidP="00FE5CF4">
            <w:pPr>
              <w:pStyle w:val="af"/>
            </w:pPr>
            <w:r w:rsidRPr="000D06DF">
              <w:t xml:space="preserve">2 группа. </w:t>
            </w:r>
            <w:r w:rsidR="0068308F" w:rsidRPr="000D06DF">
              <w:t xml:space="preserve">Количество выявленных в процессе мониторинга операций не превышает </w:t>
            </w:r>
            <w:r w:rsidR="009078C0" w:rsidRPr="000D06DF">
              <w:t>5%</w:t>
            </w:r>
            <w:r w:rsidR="000D06DF">
              <w:t xml:space="preserve"> </w:t>
            </w:r>
            <w:r w:rsidR="0068308F" w:rsidRPr="000D06DF">
              <w:t xml:space="preserve">от числа направленных в </w:t>
            </w:r>
            <w:r w:rsidR="009078C0" w:rsidRPr="000D06DF">
              <w:t xml:space="preserve">Росфинмониторинг </w:t>
            </w:r>
            <w:r w:rsidR="0068308F" w:rsidRPr="000D06DF">
              <w:t>операций</w:t>
            </w:r>
          </w:p>
          <w:p w:rsidR="000D06DF" w:rsidRDefault="0068308F" w:rsidP="00FE5CF4">
            <w:pPr>
              <w:pStyle w:val="af"/>
            </w:pPr>
            <w:r w:rsidRPr="000D06DF">
              <w:t xml:space="preserve">3 группа </w:t>
            </w:r>
            <w:r w:rsidR="009078C0" w:rsidRPr="000D06DF">
              <w:t>Отсутствие невыявленных подозрительных и/или сомнительных операций.</w:t>
            </w:r>
          </w:p>
          <w:p w:rsidR="0068308F" w:rsidRPr="000D06DF" w:rsidRDefault="0068308F" w:rsidP="00FE5CF4">
            <w:pPr>
              <w:pStyle w:val="af"/>
            </w:pPr>
          </w:p>
        </w:tc>
        <w:tc>
          <w:tcPr>
            <w:tcW w:w="1377" w:type="dxa"/>
          </w:tcPr>
          <w:p w:rsidR="0068308F" w:rsidRPr="000D06DF" w:rsidRDefault="0068308F" w:rsidP="00FE5CF4">
            <w:pPr>
              <w:pStyle w:val="af"/>
            </w:pPr>
            <w:r w:rsidRPr="000D06DF">
              <w:t>0,2</w:t>
            </w:r>
          </w:p>
        </w:tc>
      </w:tr>
      <w:tr w:rsidR="0068308F" w:rsidRPr="000D06DF" w:rsidTr="00FE5CF4">
        <w:tc>
          <w:tcPr>
            <w:tcW w:w="828" w:type="dxa"/>
          </w:tcPr>
          <w:p w:rsidR="0068308F" w:rsidRPr="000D06DF" w:rsidRDefault="0068308F" w:rsidP="00FE5CF4">
            <w:pPr>
              <w:pStyle w:val="af"/>
            </w:pPr>
            <w:r w:rsidRPr="000D06DF">
              <w:t>5</w:t>
            </w:r>
          </w:p>
        </w:tc>
        <w:tc>
          <w:tcPr>
            <w:tcW w:w="1689" w:type="dxa"/>
          </w:tcPr>
          <w:p w:rsidR="0068308F" w:rsidRPr="000D06DF" w:rsidRDefault="0068308F" w:rsidP="00FE5CF4">
            <w:pPr>
              <w:pStyle w:val="af"/>
            </w:pPr>
            <w:r w:rsidRPr="000D06DF">
              <w:t>Обучение</w:t>
            </w:r>
            <w:r w:rsidR="00FE5CF4">
              <w:t xml:space="preserve"> </w:t>
            </w:r>
            <w:r w:rsidRPr="000D06DF">
              <w:t xml:space="preserve">персонала по ПОД/ФТ </w:t>
            </w:r>
          </w:p>
        </w:tc>
        <w:tc>
          <w:tcPr>
            <w:tcW w:w="5138" w:type="dxa"/>
          </w:tcPr>
          <w:p w:rsidR="000D06DF" w:rsidRDefault="0068308F" w:rsidP="00FE5CF4">
            <w:pPr>
              <w:pStyle w:val="af"/>
            </w:pPr>
            <w:r w:rsidRPr="000D06DF">
              <w:t xml:space="preserve"> 1 группа. </w:t>
            </w:r>
            <w:r w:rsidR="009078C0" w:rsidRPr="000D06DF">
              <w:t>Наличие замечаний по 3 и более пунктам мониторинга</w:t>
            </w:r>
          </w:p>
          <w:p w:rsidR="000D06DF" w:rsidRDefault="0068308F" w:rsidP="00FE5CF4">
            <w:pPr>
              <w:pStyle w:val="af"/>
            </w:pPr>
            <w:r w:rsidRPr="000D06DF">
              <w:t>2 группа. Наличие замечаний по 2 пунктам мониторинга</w:t>
            </w:r>
          </w:p>
          <w:p w:rsidR="0068308F" w:rsidRPr="000D06DF" w:rsidRDefault="0068308F" w:rsidP="00FE5CF4">
            <w:pPr>
              <w:pStyle w:val="af"/>
            </w:pPr>
            <w:r w:rsidRPr="000D06DF">
              <w:t xml:space="preserve">3 группа. </w:t>
            </w:r>
            <w:r w:rsidR="009078C0" w:rsidRPr="000D06DF">
              <w:t xml:space="preserve">Наличие в деятельности филиала замечаний не более, чем по 1 пункту из приведенных в соответствующем разделе мониторинга. </w:t>
            </w:r>
          </w:p>
        </w:tc>
        <w:tc>
          <w:tcPr>
            <w:tcW w:w="1377" w:type="dxa"/>
          </w:tcPr>
          <w:p w:rsidR="0068308F" w:rsidRPr="000D06DF" w:rsidRDefault="0068308F" w:rsidP="00FE5CF4">
            <w:pPr>
              <w:pStyle w:val="af"/>
            </w:pPr>
            <w:r w:rsidRPr="000D06DF">
              <w:t>0,15</w:t>
            </w:r>
          </w:p>
        </w:tc>
      </w:tr>
    </w:tbl>
    <w:p w:rsidR="00910F72" w:rsidRPr="000D06DF" w:rsidRDefault="00910F72" w:rsidP="000D06DF">
      <w:pPr>
        <w:pStyle w:val="ae"/>
      </w:pPr>
    </w:p>
    <w:p w:rsidR="00910F72" w:rsidRPr="000D06DF" w:rsidRDefault="008968F7" w:rsidP="000D06DF">
      <w:pPr>
        <w:pStyle w:val="ae"/>
      </w:pPr>
      <w:r w:rsidRPr="000D06DF">
        <w:t>При планировании УВК работы на следующие периоды особое внимание должно уделяться тем филиалам, общая рейтинговая оценка деятельности которых в результате анализа получила наименьшее значение</w:t>
      </w:r>
    </w:p>
    <w:p w:rsidR="000D06DF" w:rsidRDefault="00BF0D4A" w:rsidP="000D06DF">
      <w:pPr>
        <w:pStyle w:val="ae"/>
      </w:pPr>
      <w:r w:rsidRPr="000D06DF">
        <w:t>Имеется и еще один вопрос, продуманное решение которого может существенно повысить качество и эффективность всей работы служб внутреннего контроля банков. Речь идет об использовании характерного для нашей системы метода «поощрения» и «наказания». Конечно, руководство каждой кредитной организации определяет, в соответствии со сложившимися ситуациями, возможностями и результатами своей деятельности, формы и размеры стимулирования и оценки вины каждого своего сотрудника за просчеты и нарушения. Однако, следует не сомневаться в том, что Центральный Банк может в директивном порядке установить такие показатели, как особую периодичность, правила и методы проведения проверок деятельности банка по ПОД/ФТ, инструментарий, способный повысить персонифицированную ответственность отдельных специалистов и его менеджмента за соблюдение требований законодательства. Специалисты банка должны быть заранее проинформированы о том, когда и при каких обстоятельствах их ждет поощрение и наказание.</w:t>
      </w:r>
    </w:p>
    <w:p w:rsidR="000D06DF" w:rsidRDefault="000D06DF" w:rsidP="000D06DF">
      <w:pPr>
        <w:pStyle w:val="ae"/>
      </w:pPr>
      <w:bookmarkStart w:id="0" w:name="_GoBack"/>
      <w:bookmarkEnd w:id="0"/>
    </w:p>
    <w:sectPr w:rsidR="000D06DF" w:rsidSect="000D06DF">
      <w:headerReference w:type="even" r:id="rId7"/>
      <w:headerReference w:type="default" r:id="rId8"/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BA5" w:rsidRDefault="00EE2BA5">
      <w:r>
        <w:separator/>
      </w:r>
    </w:p>
  </w:endnote>
  <w:endnote w:type="continuationSeparator" w:id="0">
    <w:p w:rsidR="00EE2BA5" w:rsidRDefault="00EE2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BA5" w:rsidRDefault="00EE2BA5">
      <w:r>
        <w:separator/>
      </w:r>
    </w:p>
  </w:footnote>
  <w:footnote w:type="continuationSeparator" w:id="0">
    <w:p w:rsidR="00EE2BA5" w:rsidRDefault="00EE2BA5">
      <w:r>
        <w:continuationSeparator/>
      </w:r>
    </w:p>
  </w:footnote>
  <w:footnote w:id="1">
    <w:p w:rsidR="00EE2BA5" w:rsidRDefault="002338EA" w:rsidP="000D06DF">
      <w:pPr>
        <w:pStyle w:val="af"/>
      </w:pPr>
      <w:r w:rsidRPr="00FE5CF4">
        <w:rPr>
          <w:rStyle w:val="ac"/>
        </w:rPr>
        <w:footnoteRef/>
      </w:r>
      <w:r w:rsidRPr="00FE5CF4">
        <w:t xml:space="preserve"> Банковское дело № 11 – 2009 «Идентификация и анализ деятельности клиентов, как фактор управления правовым риском и риском потери деловой репутации». стр. 26 </w:t>
      </w:r>
    </w:p>
  </w:footnote>
  <w:footnote w:id="2">
    <w:p w:rsidR="00EE2BA5" w:rsidRDefault="002338EA" w:rsidP="000D06DF">
      <w:pPr>
        <w:pStyle w:val="af"/>
      </w:pPr>
      <w:r w:rsidRPr="00FE5CF4">
        <w:rPr>
          <w:rStyle w:val="ac"/>
        </w:rPr>
        <w:footnoteRef/>
      </w:r>
      <w:r w:rsidRPr="00FE5CF4">
        <w:t xml:space="preserve"> </w:t>
      </w:r>
      <w:r w:rsidRPr="00D41A67">
        <w:rPr>
          <w:lang w:val="en-US"/>
        </w:rPr>
        <w:t>www.bankir.ru</w:t>
      </w:r>
      <w:r w:rsidRPr="00FE5CF4">
        <w:rPr>
          <w:lang w:val="en-US"/>
        </w:rPr>
        <w:t xml:space="preserve">. 04.03.2010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8EA" w:rsidRDefault="002338EA">
    <w:pPr>
      <w:pStyle w:val="a7"/>
      <w:framePr w:wrap="around" w:vAnchor="text" w:hAnchor="margin" w:xAlign="center" w:y="1"/>
      <w:rPr>
        <w:rStyle w:val="a9"/>
      </w:rPr>
    </w:pPr>
  </w:p>
  <w:p w:rsidR="002338EA" w:rsidRDefault="002338E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8EA" w:rsidRDefault="00D41A67">
    <w:pPr>
      <w:pStyle w:val="a7"/>
      <w:framePr w:wrap="around" w:vAnchor="text" w:hAnchor="margin" w:xAlign="center" w:y="1"/>
      <w:rPr>
        <w:rStyle w:val="a9"/>
      </w:rPr>
    </w:pPr>
    <w:r>
      <w:rPr>
        <w:rStyle w:val="a9"/>
        <w:noProof/>
      </w:rPr>
      <w:t>1</w:t>
    </w:r>
  </w:p>
  <w:p w:rsidR="002338EA" w:rsidRDefault="002338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B2AC1"/>
    <w:multiLevelType w:val="hybridMultilevel"/>
    <w:tmpl w:val="37E80A8C"/>
    <w:lvl w:ilvl="0" w:tplc="12EC3D88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0D">
      <w:start w:val="1"/>
      <w:numFmt w:val="bullet"/>
      <w:lvlText w:val="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90009">
      <w:start w:val="1"/>
      <w:numFmt w:val="bullet"/>
      <w:lvlText w:val="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1C0B0993"/>
    <w:multiLevelType w:val="hybridMultilevel"/>
    <w:tmpl w:val="E734421A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C3D0469"/>
    <w:multiLevelType w:val="hybridMultilevel"/>
    <w:tmpl w:val="17883D4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E05923"/>
    <w:multiLevelType w:val="hybridMultilevel"/>
    <w:tmpl w:val="C96E3E30"/>
    <w:lvl w:ilvl="0" w:tplc="0419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FF415FA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24451EA3"/>
    <w:multiLevelType w:val="hybridMultilevel"/>
    <w:tmpl w:val="25220EA0"/>
    <w:lvl w:ilvl="0" w:tplc="0419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2886603A"/>
    <w:multiLevelType w:val="hybridMultilevel"/>
    <w:tmpl w:val="D9B208E0"/>
    <w:lvl w:ilvl="0" w:tplc="0419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2C1D1987"/>
    <w:multiLevelType w:val="hybridMultilevel"/>
    <w:tmpl w:val="7C46EAC2"/>
    <w:lvl w:ilvl="0" w:tplc="99A61636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2C487A19"/>
    <w:multiLevelType w:val="hybridMultilevel"/>
    <w:tmpl w:val="5EB6C62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980994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DEE1B2C"/>
    <w:multiLevelType w:val="hybridMultilevel"/>
    <w:tmpl w:val="51D4B95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977A35"/>
    <w:multiLevelType w:val="singleLevel"/>
    <w:tmpl w:val="E2BA8980"/>
    <w:lvl w:ilvl="0">
      <w:start w:val="1"/>
      <w:numFmt w:val="bullet"/>
      <w:lvlText w:val="-"/>
      <w:lvlJc w:val="left"/>
      <w:pPr>
        <w:tabs>
          <w:tab w:val="num" w:pos="360"/>
        </w:tabs>
        <w:ind w:left="198" w:hanging="198"/>
      </w:pPr>
      <w:rPr>
        <w:rFonts w:hint="default"/>
      </w:rPr>
    </w:lvl>
  </w:abstractNum>
  <w:abstractNum w:abstractNumId="12">
    <w:nsid w:val="54BB4538"/>
    <w:multiLevelType w:val="hybridMultilevel"/>
    <w:tmpl w:val="16340B4C"/>
    <w:lvl w:ilvl="0" w:tplc="FCB2F79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64C0711F"/>
    <w:multiLevelType w:val="hybridMultilevel"/>
    <w:tmpl w:val="2894356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FF35FC"/>
    <w:multiLevelType w:val="hybridMultilevel"/>
    <w:tmpl w:val="F74CB3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7ECB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0F7404"/>
    <w:multiLevelType w:val="hybridMultilevel"/>
    <w:tmpl w:val="29C26586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7ED61D15"/>
    <w:multiLevelType w:val="hybridMultilevel"/>
    <w:tmpl w:val="E2BE4FD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10"/>
  </w:num>
  <w:num w:numId="5">
    <w:abstractNumId w:val="14"/>
  </w:num>
  <w:num w:numId="6">
    <w:abstractNumId w:val="11"/>
  </w:num>
  <w:num w:numId="7">
    <w:abstractNumId w:val="4"/>
  </w:num>
  <w:num w:numId="8">
    <w:abstractNumId w:val="9"/>
  </w:num>
  <w:num w:numId="9">
    <w:abstractNumId w:val="15"/>
  </w:num>
  <w:num w:numId="10">
    <w:abstractNumId w:val="3"/>
  </w:num>
  <w:num w:numId="11">
    <w:abstractNumId w:val="0"/>
  </w:num>
  <w:num w:numId="12">
    <w:abstractNumId w:val="7"/>
  </w:num>
  <w:num w:numId="13">
    <w:abstractNumId w:val="1"/>
  </w:num>
  <w:num w:numId="14">
    <w:abstractNumId w:val="2"/>
  </w:num>
  <w:num w:numId="15">
    <w:abstractNumId w:val="6"/>
  </w:num>
  <w:num w:numId="16">
    <w:abstractNumId w:val="1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2C9A"/>
    <w:rsid w:val="00022BD9"/>
    <w:rsid w:val="000260DD"/>
    <w:rsid w:val="000A3141"/>
    <w:rsid w:val="000D06DF"/>
    <w:rsid w:val="00170A16"/>
    <w:rsid w:val="001725B1"/>
    <w:rsid w:val="00172A9D"/>
    <w:rsid w:val="00183D2E"/>
    <w:rsid w:val="001F0AC8"/>
    <w:rsid w:val="001F7867"/>
    <w:rsid w:val="00211687"/>
    <w:rsid w:val="002338EA"/>
    <w:rsid w:val="002412B4"/>
    <w:rsid w:val="002508CE"/>
    <w:rsid w:val="0029619D"/>
    <w:rsid w:val="00335D67"/>
    <w:rsid w:val="003449AD"/>
    <w:rsid w:val="003C2503"/>
    <w:rsid w:val="004536A6"/>
    <w:rsid w:val="004B15F3"/>
    <w:rsid w:val="004E5C77"/>
    <w:rsid w:val="004F04B2"/>
    <w:rsid w:val="004F38DF"/>
    <w:rsid w:val="00523295"/>
    <w:rsid w:val="0053239C"/>
    <w:rsid w:val="00572BF5"/>
    <w:rsid w:val="00587F3A"/>
    <w:rsid w:val="005B049C"/>
    <w:rsid w:val="005C5833"/>
    <w:rsid w:val="006077B5"/>
    <w:rsid w:val="00653071"/>
    <w:rsid w:val="00677EA5"/>
    <w:rsid w:val="0068308F"/>
    <w:rsid w:val="006D318B"/>
    <w:rsid w:val="007042B3"/>
    <w:rsid w:val="00712C9A"/>
    <w:rsid w:val="007A6075"/>
    <w:rsid w:val="007B6DF0"/>
    <w:rsid w:val="007C641A"/>
    <w:rsid w:val="007D21AE"/>
    <w:rsid w:val="007E3B6B"/>
    <w:rsid w:val="00805B73"/>
    <w:rsid w:val="00841044"/>
    <w:rsid w:val="00854651"/>
    <w:rsid w:val="00883455"/>
    <w:rsid w:val="008968F7"/>
    <w:rsid w:val="008D30D0"/>
    <w:rsid w:val="008F563B"/>
    <w:rsid w:val="008F7A40"/>
    <w:rsid w:val="009078C0"/>
    <w:rsid w:val="00910F72"/>
    <w:rsid w:val="009205CD"/>
    <w:rsid w:val="00954A81"/>
    <w:rsid w:val="00955EE7"/>
    <w:rsid w:val="00982BED"/>
    <w:rsid w:val="00A64F88"/>
    <w:rsid w:val="00A85312"/>
    <w:rsid w:val="00A95DCF"/>
    <w:rsid w:val="00AE3C02"/>
    <w:rsid w:val="00BA6D79"/>
    <w:rsid w:val="00BF0D4A"/>
    <w:rsid w:val="00CE67C4"/>
    <w:rsid w:val="00CF59D2"/>
    <w:rsid w:val="00D13FE3"/>
    <w:rsid w:val="00D41A67"/>
    <w:rsid w:val="00D52B40"/>
    <w:rsid w:val="00D705C7"/>
    <w:rsid w:val="00DC3E56"/>
    <w:rsid w:val="00DC4D39"/>
    <w:rsid w:val="00DD13B2"/>
    <w:rsid w:val="00DE4158"/>
    <w:rsid w:val="00E3265D"/>
    <w:rsid w:val="00E41701"/>
    <w:rsid w:val="00E45A49"/>
    <w:rsid w:val="00E86298"/>
    <w:rsid w:val="00E96B72"/>
    <w:rsid w:val="00EE2B4A"/>
    <w:rsid w:val="00EE2BA5"/>
    <w:rsid w:val="00F25088"/>
    <w:rsid w:val="00F7081F"/>
    <w:rsid w:val="00F7239E"/>
    <w:rsid w:val="00F85C5A"/>
    <w:rsid w:val="00F85CE7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A8557C3-25C6-49F4-A962-014C2EA15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ind w:firstLine="708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/>
      <w:ind w:left="1428"/>
      <w:outlineLvl w:val="1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pPr>
      <w:jc w:val="center"/>
    </w:pPr>
    <w:rPr>
      <w:b/>
      <w:bCs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pPr>
      <w:ind w:firstLine="708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jc w:val="both"/>
    </w:pPr>
    <w:rPr>
      <w:b/>
      <w:sz w:val="20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pPr>
      <w:ind w:firstLine="708"/>
      <w:jc w:val="both"/>
    </w:pPr>
    <w:rPr>
      <w:rFonts w:ascii="Arial" w:hAnsi="Arial" w:cs="Arial"/>
      <w:bCs/>
      <w:sz w:val="22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pPr>
      <w:spacing w:before="240"/>
      <w:ind w:left="720" w:firstLine="708"/>
      <w:jc w:val="both"/>
    </w:pPr>
    <w:rPr>
      <w:rFonts w:ascii="Arial" w:hAnsi="Arial" w:cs="Arial"/>
      <w:sz w:val="22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rsid w:val="00DD13B2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locked/>
    <w:rPr>
      <w:rFonts w:cs="Times New Roman"/>
    </w:rPr>
  </w:style>
  <w:style w:type="character" w:styleId="ac">
    <w:name w:val="footnote reference"/>
    <w:uiPriority w:val="99"/>
    <w:semiHidden/>
    <w:rsid w:val="00DD13B2"/>
    <w:rPr>
      <w:rFonts w:cs="Times New Roman"/>
      <w:vertAlign w:val="superscript"/>
    </w:rPr>
  </w:style>
  <w:style w:type="character" w:styleId="ad">
    <w:name w:val="Hyperlink"/>
    <w:uiPriority w:val="99"/>
    <w:rsid w:val="00E41701"/>
    <w:rPr>
      <w:rFonts w:cs="Times New Roman"/>
      <w:color w:val="0000FF"/>
      <w:u w:val="single"/>
    </w:rPr>
  </w:style>
  <w:style w:type="paragraph" w:customStyle="1" w:styleId="ae">
    <w:name w:val="АА"/>
    <w:basedOn w:val="a"/>
    <w:qFormat/>
    <w:rsid w:val="000D06DF"/>
    <w:pPr>
      <w:overflowPunct w:val="0"/>
      <w:autoSpaceDE w:val="0"/>
      <w:autoSpaceDN w:val="0"/>
      <w:adjustRightInd w:val="0"/>
      <w:spacing w:line="360" w:lineRule="auto"/>
      <w:ind w:firstLine="709"/>
      <w:contextualSpacing/>
      <w:jc w:val="both"/>
    </w:pPr>
    <w:rPr>
      <w:sz w:val="28"/>
      <w:szCs w:val="28"/>
    </w:rPr>
  </w:style>
  <w:style w:type="paragraph" w:customStyle="1" w:styleId="af">
    <w:name w:val="Б"/>
    <w:basedOn w:val="a"/>
    <w:qFormat/>
    <w:rsid w:val="000D06DF"/>
    <w:pPr>
      <w:spacing w:line="360" w:lineRule="auto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3396</Words>
  <Characters>19363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направления ежеквартального мониторинга порядка</vt:lpstr>
    </vt:vector>
  </TitlesOfParts>
  <Company>icb</Company>
  <LinksUpToDate>false</LinksUpToDate>
  <CharactersWithSpaces>22714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направления ежеквартального мониторинга порядка</dc:title>
  <dc:subject/>
  <dc:creator>****</dc:creator>
  <cp:keywords/>
  <dc:description/>
  <cp:lastModifiedBy>admin</cp:lastModifiedBy>
  <cp:revision>2</cp:revision>
  <cp:lastPrinted>2010-04-21T09:58:00Z</cp:lastPrinted>
  <dcterms:created xsi:type="dcterms:W3CDTF">2014-03-20T09:06:00Z</dcterms:created>
  <dcterms:modified xsi:type="dcterms:W3CDTF">2014-03-20T09:06:00Z</dcterms:modified>
</cp:coreProperties>
</file>