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F78" w:rsidRDefault="00283F78">
      <w:pPr>
        <w:pStyle w:val="Z16"/>
        <w:jc w:val="center"/>
      </w:pPr>
      <w:r>
        <w:t>Буржуазные реформы 60-70 годов 19 века в России</w:t>
      </w:r>
    </w:p>
    <w:p w:rsidR="00283F78" w:rsidRDefault="00283F78">
      <w:pPr>
        <w:pStyle w:val="Mystyle"/>
      </w:pPr>
    </w:p>
    <w:p w:rsidR="00283F78" w:rsidRDefault="00283F78">
      <w:pPr>
        <w:pStyle w:val="Mystyle"/>
      </w:pPr>
      <w:r>
        <w:tab/>
        <w:t>Феодально-крепостническая система в России в условиях всеобщего кризиса находила формы и методы приспосабливания к капиталистическому производству. Она сумела закрепить рабочих на мануфактурах, вводила колонизацию окраин, приспосабливала их к  феодализму. Разложение феодальных и развитие капиталистических отношений — единый процесс. Основным очагом для формирования нового способа производства была промышленность, использующая вольнонаемных рабочих. Капиталистические отношения складывались и в сельском хозяйстве, особенно на окраинах России.</w:t>
      </w:r>
    </w:p>
    <w:p w:rsidR="00283F78" w:rsidRDefault="00283F78">
      <w:pPr>
        <w:pStyle w:val="Mystyle"/>
      </w:pPr>
      <w:r>
        <w:tab/>
        <w:t xml:space="preserve">Поражение России в Крымской войне показало отсталость политического, социального и экономического строя. При сравнивании капиталистической Европы и феодально-крепостнической России вывод напрашивался сам: будущее принадлежит капитализму. Поскольку за 1800-1860гг. только в экономическом росте страна отстала от стран Запада многократно(!). Удельный вес России в мировом промышленном производстве составлял в 1860г. 1,72 %. Он уступал Франции в 7,2 раза, Германии — в 9 раз, Англии — в 18. Поражение России открывало безрадостную перспективу. Перед страной встала социально-политическая проблема, от решения которой зависела дальнейшая судьба России. Первостепенной задачей стала ликвидация крепостного права; второй — ликвидация самодержавия. </w:t>
      </w:r>
    </w:p>
    <w:p w:rsidR="00283F78" w:rsidRDefault="00283F78">
      <w:pPr>
        <w:pStyle w:val="Mystyle"/>
      </w:pPr>
    </w:p>
    <w:p w:rsidR="00283F78" w:rsidRDefault="00283F78">
      <w:pPr>
        <w:pStyle w:val="Z14"/>
      </w:pPr>
      <w:r>
        <w:tab/>
        <w:t>Буржуазные реформы 60-70 годов.</w:t>
      </w:r>
    </w:p>
    <w:p w:rsidR="00283F78" w:rsidRDefault="00283F78">
      <w:pPr>
        <w:pStyle w:val="Mystyle"/>
      </w:pPr>
      <w:r>
        <w:tab/>
        <w:t xml:space="preserve">Социально-экономическое и политическое развитие России, поражение в Крымской войне, массовые крестьянские волнения и возникновение революционной ситуации — все это заставило царизм пойти на отмену крепостного права и проведение ряда реформ. Для того, чтобы не допустить революции, царскому правительству пришлось приступить к подготовке реформ. </w:t>
      </w:r>
    </w:p>
    <w:p w:rsidR="00283F78" w:rsidRDefault="00283F78">
      <w:pPr>
        <w:pStyle w:val="Mystyle"/>
      </w:pPr>
      <w:r>
        <w:tab/>
        <w:t>В конце 50-х годов 19 века царское правительство приступило к разработке проектов реформ. 16 февраля 1858г. бывший секретный комитет был переименован в главный комитет по “крестьянскому делу”.</w:t>
      </w:r>
    </w:p>
    <w:p w:rsidR="00283F78" w:rsidRDefault="00283F78">
      <w:pPr>
        <w:pStyle w:val="Mystyle"/>
      </w:pPr>
      <w:r>
        <w:tab/>
        <w:t xml:space="preserve">Интересы помещиков различных губерний не совпадали, поэтому были подготовлены различные проекты отмены крепостного права. </w:t>
      </w:r>
    </w:p>
    <w:p w:rsidR="00283F78" w:rsidRDefault="00283F78">
      <w:pPr>
        <w:pStyle w:val="Mystyle"/>
      </w:pPr>
      <w:r>
        <w:rPr>
          <w:u w:val="single"/>
        </w:rPr>
        <w:t>Помещики нечерноземных губерний</w:t>
      </w:r>
      <w:r>
        <w:t xml:space="preserve"> предлагали освободить крестьянина с землей с вознаграждением помещиков за землю, отходящую в надел крестьянам и за само освобождение крестьян. Выкуп земли осуществлялся самим крестьянином. Выкуп же крестьянской личности возлагался на государство. Проект помещиков нечерноземных губерний отражал стремление помещиков получить максимальный выкуп, чтобы организовать свое хозяйство по капиталистическому принципу. </w:t>
      </w:r>
    </w:p>
    <w:p w:rsidR="00283F78" w:rsidRDefault="00283F78">
      <w:pPr>
        <w:pStyle w:val="Mystyle"/>
      </w:pPr>
      <w:r>
        <w:tab/>
      </w:r>
      <w:r>
        <w:rPr>
          <w:u w:val="single"/>
        </w:rPr>
        <w:t>Помещики черноземных губерний,</w:t>
      </w:r>
      <w:r>
        <w:t xml:space="preserve"> где преобладал барщинная система хозяйства и где земля высоко ценилась, стремились сохранить как много больше земли в своем владении и наделить крестьян мизерными клочками земли, сохранив при этом крестьянское хозяйство. Целью сохранения крестьянского хозяйства было обеспечение помещика дешевыми рабочими руками.</w:t>
      </w:r>
    </w:p>
    <w:p w:rsidR="00283F78" w:rsidRDefault="00283F78">
      <w:pPr>
        <w:pStyle w:val="Mystyle"/>
      </w:pPr>
      <w:r>
        <w:tab/>
      </w:r>
      <w:r>
        <w:rPr>
          <w:u w:val="single"/>
        </w:rPr>
        <w:t>Помещики степной полосы</w:t>
      </w:r>
      <w:r>
        <w:t xml:space="preserve"> — помещики Украины, Северного Кавказа, Заволжья — предлагали освободить крестьян с землей и наделить их гражданскими правами, но для получения крестьянами полной свободы, по их мнению, необходимо установить переходный период в 10-12 лет, во время которого сохранялась обязательным барщина и право вотчинной полиции за помещиком. </w:t>
      </w:r>
    </w:p>
    <w:p w:rsidR="00283F78" w:rsidRDefault="00283F78">
      <w:pPr>
        <w:pStyle w:val="Mystyle"/>
      </w:pPr>
      <w:r>
        <w:tab/>
        <w:t>Все помещичьи проекты объединяли идеи — не разрушать помещичье землевладение, власть помещиков и монархию. Многие помещики вообще выступали против отмены крепостного права. Основная борьба шла внутри господствующего класса исключительно из-за меры и формы уступок освобождаемым крестьянам.</w:t>
      </w:r>
    </w:p>
    <w:p w:rsidR="00283F78" w:rsidRDefault="00283F78">
      <w:pPr>
        <w:pStyle w:val="Mystyle"/>
      </w:pPr>
      <w:r>
        <w:tab/>
        <w:t xml:space="preserve">Революционно-демократический лагерь, принимавший участие в обсуждении проектов освобождения крестьян, выступал за полное уничтожение помещичьей собственности, ликвидацию крепостного строя, за свержение феодально-крепостнической власти. Сами же крестьяне были устранены от  участия в разработке программ своего освобождения, однако массовые крестьянские волнения, охватившие почти всю европейскую часть России, не могли не оказать влияния на решение вопроса об их освобождения. </w:t>
      </w:r>
    </w:p>
    <w:p w:rsidR="00283F78" w:rsidRDefault="00283F78">
      <w:pPr>
        <w:pStyle w:val="Mystyle"/>
      </w:pPr>
      <w:r>
        <w:tab/>
        <w:t>В марте 1860г. начала свою работу редакционная комиссия, которой поручалось рассматривать все губернские проекты, использовать которые следовало в законе об освобождении крестьян. Редакционная комиссия сделала попытку провести в жизнь правительственную линию, выражая классовые интересы помещиков. Было предложено:</w:t>
      </w:r>
    </w:p>
    <w:p w:rsidR="00283F78" w:rsidRDefault="00283F78">
      <w:pPr>
        <w:pStyle w:val="Mystyle"/>
      </w:pPr>
      <w:r>
        <w:tab/>
        <w:t>1)повысить нормы крестьянских наделов по отношению к предлагаемым помещиками;</w:t>
      </w:r>
    </w:p>
    <w:p w:rsidR="00283F78" w:rsidRDefault="00283F78">
      <w:pPr>
        <w:pStyle w:val="Mystyle"/>
      </w:pPr>
      <w:r>
        <w:tab/>
        <w:t>2)создать особое крестьянское общественное управление, подчиняющееся административно-полицейским органам;</w:t>
      </w:r>
    </w:p>
    <w:p w:rsidR="00283F78" w:rsidRDefault="00283F78">
      <w:pPr>
        <w:pStyle w:val="Mystyle"/>
      </w:pPr>
      <w:r>
        <w:tab/>
        <w:t>3)отвергнуть все проекты освобождения крестьян без земли.</w:t>
      </w:r>
    </w:p>
    <w:p w:rsidR="00283F78" w:rsidRDefault="00283F78">
      <w:pPr>
        <w:pStyle w:val="Mystyle"/>
      </w:pPr>
      <w:r>
        <w:tab/>
        <w:t xml:space="preserve">Главный комитет рассмотрел проект положения об освобождении крестьян, подверг его ряду изменений в пользу помещиков, в том числе обратно уменьшив нормы отделения земли крестьянам. </w:t>
      </w:r>
    </w:p>
    <w:p w:rsidR="00283F78" w:rsidRDefault="00283F78">
      <w:pPr>
        <w:pStyle w:val="Mystyle"/>
      </w:pPr>
      <w:r>
        <w:tab/>
        <w:t xml:space="preserve">28 января 1861г. к рассмотрению проекта приступил государственный совет. Здесь по предложению землевладельца князя Гагарина в проект было внесено положение, согласно которому помещикам предоставлялось право предоставлять крестьянам по соглашению с ними немедленно в собственность и бесплатно 1/4 надела, то есть крестьяне сразу получали свободу, ликвидировали всякие обязательства по отношению к помещикам, но оказавшись без средств к существованию. </w:t>
      </w:r>
    </w:p>
    <w:p w:rsidR="00283F78" w:rsidRDefault="00283F78">
      <w:pPr>
        <w:pStyle w:val="Mystyle"/>
      </w:pPr>
      <w:r>
        <w:tab/>
        <w:t xml:space="preserve">16 февраля 1861г. государственный комитет, завершив обсуждение проектов положения, предоставил его на утверждение царя. И </w:t>
      </w:r>
      <w:r>
        <w:rPr>
          <w:highlight w:val="yellow"/>
          <w:u w:val="single"/>
        </w:rPr>
        <w:t>19 февраля 1861г.</w:t>
      </w:r>
      <w:r>
        <w:t xml:space="preserve"> Александр </w:t>
      </w:r>
      <w:r>
        <w:sym w:font="Symbol" w:char="F049"/>
      </w:r>
      <w:r>
        <w:sym w:font="Symbol" w:char="F049"/>
      </w:r>
      <w:r>
        <w:t xml:space="preserve"> подписал проект, получивший силу закона. В это же день государь подписал манифест, возвещавший об освобождении крестьян. Царское правительство отдавало себе отчет в том, что закон об освобождении крестьян не удовлетворит их, вызовет массовый протест, поэтому с конца 1860г. во все губернии направлялись генералы и флигель-адъютанты, которые получили широкие полномочия по борьбе с крестьянскими восстаниями. </w:t>
      </w:r>
    </w:p>
    <w:p w:rsidR="00283F78" w:rsidRDefault="00283F78">
      <w:pPr>
        <w:pStyle w:val="Mystyle"/>
      </w:pPr>
      <w:r>
        <w:tab/>
        <w:t>Согласно положению от 19 февраля 1861г. в 45 губерниях европейской России проживало 22.563.000 крепостных крестьян, 1.467.000 дворовых и 543.000 прикрепленных к заводам и фабрикам — освобожденных от крепостной зависимости. По манифесту, крестьяне получили и ряд гражданских прав: они могли заключать различные гражданские, имущественные, торговые, промышленные сделки, открывать торговые и промышленные заведения, переходить в другие сословия. Однако внеэкономические принуждения сохранялись. В манифесте говорилось, что в течение двух лет крестьяне обязаны отбывать те же повинности, которые были при крепостном праве. Барщина ограничивалась двумя женскими и тремя мужскими днями тягла со двора, сокращались поборные повинности.</w:t>
      </w:r>
    </w:p>
    <w:p w:rsidR="00283F78" w:rsidRDefault="00283F78">
      <w:pPr>
        <w:pStyle w:val="Mystyle"/>
      </w:pPr>
      <w:r>
        <w:tab/>
        <w:t>В период временнообязанного состояния крестьяне по-прежнему были подчинены сельским должностным лицам. Сохранялась сословная неполноправность крестьян. Они были прикреплены к общине, были низшим податным сословием, несли рекрутскую и подушную повинности, разного рода денежные и натуральные повинности, подвергались телесным наказаниям.</w:t>
      </w:r>
    </w:p>
    <w:p w:rsidR="00283F78" w:rsidRDefault="00283F78">
      <w:pPr>
        <w:pStyle w:val="Mystyle"/>
      </w:pPr>
      <w:r>
        <w:tab/>
        <w:t xml:space="preserve">Летом 1861г. в бывших помещичьих деревнях появляются органы крестьянского общественного управления. Крестьяне одной общины составляли сельское общество, несколько сельских обществ образовывали волость. Избирались сельские старосты, волостные старшины и волостные суды. Эти органы были подчинены местной администрации и полиции. Одновременно был создан институт мировых посредников, которые должны были проводить реформы в жизнь.  </w:t>
      </w:r>
    </w:p>
    <w:p w:rsidR="00283F78" w:rsidRDefault="00283F78">
      <w:pPr>
        <w:pStyle w:val="Mystyle"/>
      </w:pPr>
      <w:r>
        <w:tab/>
        <w:t xml:space="preserve">Основным вопросом реформ являлся аграрный вопрос. Согласно закону, земля принадлежала помещику, который становился ее собственником. До 1861г. в России не существовало собственников как таковых. Крестьяне считались лишь арендаторами земли и обязаны были отбывать за землю повинность. Чтобы стать полноправным ее собственником, крестьянин должен был выкупить землю у помещика. </w:t>
      </w:r>
    </w:p>
    <w:p w:rsidR="00283F78" w:rsidRDefault="00283F78">
      <w:pPr>
        <w:pStyle w:val="Mystyle"/>
      </w:pPr>
      <w:r>
        <w:tab/>
        <w:t xml:space="preserve">Царское правительство, наделяя крестьян землей, преследовало определенную цель сохранения от разрушения крестьянского хозяйства. Полное обезземеливание крестьян для помещика было абсолютно политически и экономически невыгодно. Лишение многомиллионного крестьянства земли ликвидировало полностью дешевую рабочую силу. Правительство также не было заинтересовано в полном обеспечении крестьян землей. В этом случае крестьянин становится экономически независимым от помещика. Крестьянам предоставлялось столько земли, что они были привязаны к наделу, одновременно испытывая ее дефицит для того, чтобы прожить от урожая до урожая, не занимая хлеб у помещика. </w:t>
      </w:r>
    </w:p>
    <w:p w:rsidR="00283F78" w:rsidRDefault="00283F78">
      <w:pPr>
        <w:pStyle w:val="Mystyle"/>
      </w:pPr>
      <w:r>
        <w:tab/>
        <w:t xml:space="preserve">Определенные нормы земельного надела зависели от местных природных и экономических условий. В нечерноземных и черноземных губерниях крестьянин мог получить высшую или низшую норму земельного надела (min = (1/3)max нормы). В степных районах крестьяне получали четкую норму земли. Согласно закону, предусматривалась отрезка от крестьянского надела части земли, если он превышал указанную норму для данного района, или прирезка, если земли не хватало (примеров прирезки, естественно, было единицы). Отрезать землю разрешалось и тогда, когда у помещика оставалось менее 1/3 части, а в степных районах — 1/2 части земли по отношению ко всей крестьянской. У крестьянина, как правило, отрезалась большая часть земли. В некоторых губерниях отрезали 40-45 % земли. В целом, в результате реформы крестьянское землепользование сократилось на 20 %. </w:t>
      </w:r>
    </w:p>
    <w:p w:rsidR="00283F78" w:rsidRDefault="00283F78">
      <w:pPr>
        <w:pStyle w:val="Mystyle"/>
      </w:pPr>
      <w:r>
        <w:tab/>
        <w:t>Отрезки клиньями входили в крестьянские наделы, не позволяя разумно вести хозяйство, поэтому крестьяне были вынуждены арендовать эти вырезки у помещика на кабальных условиях.</w:t>
      </w:r>
    </w:p>
    <w:p w:rsidR="00283F78" w:rsidRDefault="00283F78">
      <w:pPr>
        <w:pStyle w:val="Mystyle"/>
      </w:pPr>
      <w:r>
        <w:tab/>
        <w:t>Даже, в итоге, выкупив у помещика свой земельный надел, крестьянин вынужден был отдавать свой надел общине.</w:t>
      </w:r>
    </w:p>
    <w:p w:rsidR="00283F78" w:rsidRDefault="00283F78">
      <w:pPr>
        <w:pStyle w:val="Mystyle"/>
      </w:pPr>
      <w:r>
        <w:tab/>
        <w:t xml:space="preserve">В результате реформ 9.860.000 бывших крепостных крестьян получили 33,7 млн. десятин земли, когда как 100.500 помещиков получили 69 млн. десятин земли. Реформы 1861г. даже увеличили помещичье землевладение за счет крестьянского. Дворовые и мелкопоместные (коих было 1.300.000 человек) не получили ничего. </w:t>
      </w:r>
    </w:p>
    <w:p w:rsidR="00283F78" w:rsidRDefault="00283F78">
      <w:pPr>
        <w:pStyle w:val="Mystyle"/>
      </w:pPr>
      <w:r>
        <w:tab/>
        <w:t>Средний надел составлял 3,4 десятины на душу населения, когда как для нормальной жизни требовалось 6-8 десятин. Это привело к полузависимости крестьян. Повинности в промышленных губерниях составляли 10 рублей в год с одной мужской души, в остальных губерниях — 8-9 рублей.</w:t>
      </w:r>
    </w:p>
    <w:p w:rsidR="00283F78" w:rsidRDefault="00283F78">
      <w:pPr>
        <w:pStyle w:val="Mystyle"/>
      </w:pPr>
      <w:r>
        <w:tab/>
        <w:t>В итоге крестьяне должны были заплатить государству в виде налогов в течение 49 лет 300 % от первоначальной стоимости их земли. Общая сумма выкупа составляла в золотых рублях 867.000.000 рублей. Рыночная стоимость земли в 63-67гг. составляла 648.000.000 золотых рублей; с 67 по 1907 год крестьянство заплатили казне 1.540.570.000 золотых рублей и все еще остались должны государству.</w:t>
      </w:r>
    </w:p>
    <w:p w:rsidR="00283F78" w:rsidRDefault="00283F78">
      <w:pPr>
        <w:pStyle w:val="Mystyle"/>
      </w:pPr>
    </w:p>
    <w:p w:rsidR="00283F78" w:rsidRDefault="00283F78">
      <w:pPr>
        <w:pStyle w:val="Mystyle"/>
      </w:pPr>
      <w:r>
        <w:t xml:space="preserve">При подготовке данной работы были использованы материалы с сайта </w:t>
      </w:r>
      <w:r w:rsidRPr="00D209C5">
        <w:t>http://www.studentu.ru</w:t>
      </w:r>
      <w:r>
        <w:t xml:space="preserve"> </w:t>
      </w:r>
    </w:p>
    <w:p w:rsidR="00283F78" w:rsidRDefault="00283F78">
      <w:pPr>
        <w:pStyle w:val="Mystyle"/>
      </w:pPr>
      <w:bookmarkStart w:id="0" w:name="_GoBack"/>
      <w:bookmarkEnd w:id="0"/>
    </w:p>
    <w:sectPr w:rsidR="00283F78">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CA14D1F"/>
    <w:multiLevelType w:val="multilevel"/>
    <w:tmpl w:val="D53276C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7"/>
  </w:num>
  <w:num w:numId="4">
    <w:abstractNumId w:val="2"/>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9C5"/>
    <w:rsid w:val="00283F78"/>
    <w:rsid w:val="004730FB"/>
    <w:rsid w:val="00D209C5"/>
    <w:rsid w:val="00EE6E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630574-6435-4FE4-B75C-AFC3CD82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6642</Words>
  <Characters>3787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2014-01-27T04:27:00Z</dcterms:created>
  <dcterms:modified xsi:type="dcterms:W3CDTF">2014-01-27T04:27:00Z</dcterms:modified>
</cp:coreProperties>
</file>