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800F55" w:rsidRDefault="00800F55">
      <w:pPr>
        <w:widowControl w:val="0"/>
        <w:spacing w:before="120"/>
        <w:jc w:val="center"/>
        <w:rPr>
          <w:b/>
          <w:bCs/>
          <w:sz w:val="32"/>
          <w:szCs w:val="32"/>
        </w:rPr>
      </w:pPr>
      <w:r>
        <w:rPr>
          <w:b/>
          <w:bCs/>
          <w:sz w:val="32"/>
          <w:szCs w:val="32"/>
        </w:rPr>
        <w:t xml:space="preserve">Дезинтеграция нижних носовых раковин при лечении гипертрофических вазомоторно-аллергических ринитов </w:t>
      </w:r>
    </w:p>
    <w:p w:rsidR="00800F55" w:rsidRDefault="00800F55">
      <w:pPr>
        <w:widowControl w:val="0"/>
        <w:spacing w:before="120"/>
        <w:ind w:firstLine="567"/>
        <w:jc w:val="both"/>
      </w:pPr>
      <w:r>
        <w:t xml:space="preserve">Хорошие результаты дает лечение хронических гипертрофических вазомоторных ринитов методом ультразвуковой дезинтеграции носовых раковин. </w:t>
      </w:r>
    </w:p>
    <w:p w:rsidR="00800F55" w:rsidRDefault="00800F55">
      <w:pPr>
        <w:widowControl w:val="0"/>
        <w:spacing w:before="120"/>
        <w:ind w:firstLine="567"/>
        <w:jc w:val="both"/>
      </w:pPr>
      <w:r>
        <w:t xml:space="preserve">Метод основан на нарушении сложившейся системы кровоснабжения гипертрофированных нижних носовых раковин ультразвуковым волноводом. Происходит склерозирование и запустевание сосудов гипертрофированной слизистой, и как следствие, ее сокращение и нормализация носового дыхания. </w:t>
      </w:r>
    </w:p>
    <w:p w:rsidR="00800F55" w:rsidRDefault="00800F55">
      <w:pPr>
        <w:widowControl w:val="0"/>
        <w:spacing w:before="120"/>
        <w:ind w:firstLine="567"/>
        <w:jc w:val="both"/>
      </w:pPr>
      <w:r>
        <w:t xml:space="preserve">Ультразвуковые колебания инструмента коагулируют разрушаемые сосуды и практически исключают кровотечение. Обезболивание проводится местное на слизистую носа </w:t>
      </w:r>
    </w:p>
    <w:p w:rsidR="00800F55" w:rsidRDefault="00800F55">
      <w:pPr>
        <w:widowControl w:val="0"/>
        <w:spacing w:before="120"/>
        <w:ind w:firstLine="567"/>
        <w:jc w:val="both"/>
      </w:pPr>
      <w:r>
        <w:t xml:space="preserve">Первый этап: поступательными движениями вводится УЗ-волновод в слизистую нижней носовой раковины - в передний конец ее - на всю длину раковины. Для контроля параллельно делается второй канал УЗ-волноводом в толщу переднего конца раковины. Слизистая обрабатывается противовоспалительными мазями Пациенту рекомендуется масляные капли (оливковое, соевое, кукурузное, подсолнечное), гистаминные препараты, гипосенсибилизирующая терапия. Контроль на следующий день, при этом делается туалет слизистой носа, удаляются некротические массы. </w:t>
      </w:r>
    </w:p>
    <w:p w:rsidR="00800F55" w:rsidRDefault="00800F55">
      <w:pPr>
        <w:widowControl w:val="0"/>
        <w:spacing w:before="120"/>
        <w:ind w:firstLine="567"/>
        <w:jc w:val="both"/>
      </w:pPr>
      <w:r>
        <w:t xml:space="preserve">Второй этап: через 3 недели проводится УЗ-дезинтеграция средних (и, по возможности, задних) концов нижних носовых раковин. </w:t>
      </w:r>
    </w:p>
    <w:p w:rsidR="00800F55" w:rsidRDefault="00800F55">
      <w:pPr>
        <w:widowControl w:val="0"/>
        <w:spacing w:before="120"/>
        <w:ind w:firstLine="567"/>
        <w:jc w:val="both"/>
      </w:pPr>
      <w:r>
        <w:t xml:space="preserve">Результаты весьма благоприятные. </w:t>
      </w:r>
    </w:p>
    <w:p w:rsidR="00800F55" w:rsidRDefault="00800F55">
      <w:pPr>
        <w:widowControl w:val="0"/>
        <w:spacing w:before="120"/>
        <w:ind w:firstLine="567"/>
        <w:jc w:val="both"/>
      </w:pPr>
      <w:r>
        <w:t xml:space="preserve">Пациентка З. 37 лет. DS: вазомоторный ринит, гипертрофия задних концов нижних носовых раковин. Жалобы на отсутствие носового дыхания 18 лет, чихание по утрам, светло-водянистые выделения из носа (гидрорея). Пользуется нафтизином 15 лет 2-3 раза в день; в месяц - 7-8 флаконов. Риноскопически: носовая перегородка по средней линии, застойные явления в передних концах нижних носовых раковин, отек, цианоз, раковины в форме малины, задние концы буллезно утолщены, прикрывают хоаны на 1/3, носовое дыхание отсутствует. </w:t>
      </w:r>
    </w:p>
    <w:p w:rsidR="00800F55" w:rsidRDefault="00800F55">
      <w:pPr>
        <w:widowControl w:val="0"/>
        <w:spacing w:before="120"/>
        <w:ind w:firstLine="567"/>
        <w:jc w:val="both"/>
      </w:pPr>
      <w:r>
        <w:t xml:space="preserve">18.03.98 сделана УЗ-дезинтеграция ННР, вторая - 05.04.98, третья - 18.05.98. Носовое дыхание полностью восстановилось. Пациентка наблюдается каждые полгода. </w:t>
      </w:r>
    </w:p>
    <w:p w:rsidR="00800F55" w:rsidRDefault="00800F55">
      <w:pPr>
        <w:widowControl w:val="0"/>
        <w:spacing w:before="120"/>
        <w:ind w:firstLine="567"/>
        <w:jc w:val="both"/>
      </w:pPr>
      <w:r>
        <w:t xml:space="preserve">На 14.12.00 риноскопически: слизистая розовая, носовые ходы свободны, носовое дыхание не затруднено . </w:t>
      </w:r>
    </w:p>
    <w:p w:rsidR="00800F55" w:rsidRDefault="00800F55">
      <w:pPr>
        <w:widowControl w:val="0"/>
        <w:spacing w:before="120"/>
        <w:ind w:firstLine="567"/>
        <w:jc w:val="both"/>
      </w:pPr>
      <w:r>
        <w:t xml:space="preserve">Результаты лечения </w:t>
      </w:r>
    </w:p>
    <w:tbl>
      <w:tblPr>
        <w:tblW w:w="4750" w:type="pct"/>
        <w:jc w:val="center"/>
        <w:tblCellSpacing w:w="15" w:type="dxa"/>
        <w:tblCellMar>
          <w:top w:w="60" w:type="dxa"/>
          <w:left w:w="60" w:type="dxa"/>
          <w:bottom w:w="60" w:type="dxa"/>
          <w:right w:w="60" w:type="dxa"/>
        </w:tblCellMar>
        <w:tblLook w:val="0000" w:firstRow="0" w:lastRow="0" w:firstColumn="0" w:lastColumn="0" w:noHBand="0" w:noVBand="0"/>
      </w:tblPr>
      <w:tblGrid>
        <w:gridCol w:w="782"/>
        <w:gridCol w:w="1637"/>
        <w:gridCol w:w="1969"/>
        <w:gridCol w:w="708"/>
        <w:gridCol w:w="1003"/>
        <w:gridCol w:w="622"/>
        <w:gridCol w:w="879"/>
        <w:gridCol w:w="780"/>
        <w:gridCol w:w="947"/>
      </w:tblGrid>
      <w:tr w:rsidR="00800F55" w:rsidRPr="00800F55">
        <w:trPr>
          <w:cantSplit/>
          <w:tblCellSpacing w:w="15" w:type="dxa"/>
          <w:jc w:val="center"/>
        </w:trPr>
        <w:tc>
          <w:tcPr>
            <w:tcW w:w="0" w:type="auto"/>
            <w:vMerge w:val="restart"/>
            <w:tcBorders>
              <w:top w:val="nil"/>
              <w:left w:val="nil"/>
              <w:bottom w:val="nil"/>
              <w:right w:val="nil"/>
            </w:tcBorders>
            <w:shd w:val="clear" w:color="auto" w:fill="0066CC"/>
            <w:vAlign w:val="center"/>
          </w:tcPr>
          <w:p w:rsidR="00800F55" w:rsidRPr="00800F55" w:rsidRDefault="00800F55">
            <w:pPr>
              <w:widowControl w:val="0"/>
              <w:jc w:val="both"/>
            </w:pPr>
            <w:r w:rsidRPr="00800F55">
              <w:t>Год</w:t>
            </w:r>
          </w:p>
        </w:tc>
        <w:tc>
          <w:tcPr>
            <w:tcW w:w="0" w:type="auto"/>
            <w:vMerge w:val="restart"/>
            <w:tcBorders>
              <w:top w:val="nil"/>
              <w:left w:val="nil"/>
              <w:bottom w:val="nil"/>
              <w:right w:val="nil"/>
            </w:tcBorders>
            <w:shd w:val="clear" w:color="auto" w:fill="0066CC"/>
            <w:vAlign w:val="center"/>
          </w:tcPr>
          <w:p w:rsidR="00800F55" w:rsidRPr="00800F55" w:rsidRDefault="00800F55">
            <w:pPr>
              <w:widowControl w:val="0"/>
              <w:jc w:val="both"/>
            </w:pPr>
            <w:r w:rsidRPr="00800F55">
              <w:t>Пров. сеансов</w:t>
            </w:r>
          </w:p>
        </w:tc>
        <w:tc>
          <w:tcPr>
            <w:tcW w:w="0" w:type="auto"/>
            <w:vMerge w:val="restart"/>
            <w:tcBorders>
              <w:top w:val="nil"/>
              <w:left w:val="nil"/>
              <w:bottom w:val="nil"/>
              <w:right w:val="nil"/>
            </w:tcBorders>
            <w:shd w:val="clear" w:color="auto" w:fill="0066CC"/>
            <w:vAlign w:val="center"/>
          </w:tcPr>
          <w:p w:rsidR="00800F55" w:rsidRPr="00800F55" w:rsidRDefault="00800F55">
            <w:pPr>
              <w:widowControl w:val="0"/>
              <w:jc w:val="both"/>
            </w:pPr>
            <w:r w:rsidRPr="00800F55">
              <w:t>Число пациентов</w:t>
            </w:r>
          </w:p>
        </w:tc>
        <w:tc>
          <w:tcPr>
            <w:tcW w:w="0" w:type="auto"/>
            <w:gridSpan w:val="2"/>
            <w:tcBorders>
              <w:top w:val="nil"/>
              <w:left w:val="nil"/>
              <w:bottom w:val="nil"/>
              <w:right w:val="nil"/>
            </w:tcBorders>
            <w:shd w:val="clear" w:color="auto" w:fill="0066CC"/>
            <w:vAlign w:val="center"/>
          </w:tcPr>
          <w:p w:rsidR="00800F55" w:rsidRPr="00800F55" w:rsidRDefault="00800F55">
            <w:pPr>
              <w:widowControl w:val="0"/>
              <w:jc w:val="both"/>
            </w:pPr>
            <w:r w:rsidRPr="00800F55">
              <w:t>С улучшением</w:t>
            </w:r>
          </w:p>
        </w:tc>
        <w:tc>
          <w:tcPr>
            <w:tcW w:w="0" w:type="auto"/>
            <w:gridSpan w:val="2"/>
            <w:tcBorders>
              <w:top w:val="nil"/>
              <w:left w:val="nil"/>
              <w:bottom w:val="nil"/>
              <w:right w:val="nil"/>
            </w:tcBorders>
            <w:shd w:val="clear" w:color="auto" w:fill="0066CC"/>
            <w:vAlign w:val="center"/>
          </w:tcPr>
          <w:p w:rsidR="00800F55" w:rsidRPr="00800F55" w:rsidRDefault="00800F55">
            <w:pPr>
              <w:widowControl w:val="0"/>
              <w:jc w:val="both"/>
            </w:pPr>
            <w:r w:rsidRPr="00800F55">
              <w:t>Без изменен.</w:t>
            </w:r>
          </w:p>
        </w:tc>
        <w:tc>
          <w:tcPr>
            <w:tcW w:w="0" w:type="auto"/>
            <w:gridSpan w:val="2"/>
            <w:tcBorders>
              <w:top w:val="nil"/>
              <w:left w:val="nil"/>
              <w:bottom w:val="nil"/>
              <w:right w:val="nil"/>
            </w:tcBorders>
            <w:shd w:val="clear" w:color="auto" w:fill="0066CC"/>
            <w:vAlign w:val="center"/>
          </w:tcPr>
          <w:p w:rsidR="00800F55" w:rsidRPr="00800F55" w:rsidRDefault="00800F55">
            <w:pPr>
              <w:widowControl w:val="0"/>
              <w:jc w:val="both"/>
            </w:pPr>
            <w:r w:rsidRPr="00800F55">
              <w:t>С ухудшением</w:t>
            </w:r>
          </w:p>
        </w:tc>
      </w:tr>
      <w:tr w:rsidR="00800F55" w:rsidRPr="00800F55">
        <w:trPr>
          <w:cantSplit/>
          <w:tblCellSpacing w:w="15" w:type="dxa"/>
          <w:jc w:val="center"/>
        </w:trPr>
        <w:tc>
          <w:tcPr>
            <w:tcW w:w="0" w:type="auto"/>
            <w:vMerge/>
            <w:tcBorders>
              <w:top w:val="nil"/>
              <w:left w:val="nil"/>
              <w:bottom w:val="nil"/>
              <w:right w:val="nil"/>
            </w:tcBorders>
            <w:vAlign w:val="center"/>
          </w:tcPr>
          <w:p w:rsidR="00800F55" w:rsidRPr="00800F55" w:rsidRDefault="00800F55">
            <w:pPr>
              <w:widowControl w:val="0"/>
              <w:jc w:val="both"/>
            </w:pPr>
          </w:p>
        </w:tc>
        <w:tc>
          <w:tcPr>
            <w:tcW w:w="0" w:type="auto"/>
            <w:vMerge/>
            <w:tcBorders>
              <w:top w:val="nil"/>
              <w:left w:val="nil"/>
              <w:bottom w:val="nil"/>
              <w:right w:val="nil"/>
            </w:tcBorders>
            <w:vAlign w:val="center"/>
          </w:tcPr>
          <w:p w:rsidR="00800F55" w:rsidRPr="00800F55" w:rsidRDefault="00800F55">
            <w:pPr>
              <w:widowControl w:val="0"/>
              <w:jc w:val="both"/>
            </w:pPr>
          </w:p>
        </w:tc>
        <w:tc>
          <w:tcPr>
            <w:tcW w:w="0" w:type="auto"/>
            <w:vMerge/>
            <w:tcBorders>
              <w:top w:val="nil"/>
              <w:left w:val="nil"/>
              <w:bottom w:val="nil"/>
              <w:right w:val="nil"/>
            </w:tcBorders>
            <w:vAlign w:val="center"/>
          </w:tcPr>
          <w:p w:rsidR="00800F55" w:rsidRPr="00800F55" w:rsidRDefault="00800F55">
            <w:pPr>
              <w:widowControl w:val="0"/>
              <w:jc w:val="both"/>
            </w:pPr>
          </w:p>
        </w:tc>
        <w:tc>
          <w:tcPr>
            <w:tcW w:w="0" w:type="auto"/>
            <w:tcBorders>
              <w:top w:val="nil"/>
              <w:left w:val="nil"/>
              <w:bottom w:val="nil"/>
              <w:right w:val="nil"/>
            </w:tcBorders>
            <w:shd w:val="clear" w:color="auto" w:fill="E8F3FF"/>
            <w:vAlign w:val="center"/>
          </w:tcPr>
          <w:p w:rsidR="00800F55" w:rsidRPr="00800F55" w:rsidRDefault="00800F55">
            <w:pPr>
              <w:widowControl w:val="0"/>
              <w:jc w:val="both"/>
            </w:pPr>
            <w:r w:rsidRPr="00800F55">
              <w:t>абс.</w:t>
            </w:r>
          </w:p>
        </w:tc>
        <w:tc>
          <w:tcPr>
            <w:tcW w:w="0" w:type="auto"/>
            <w:tcBorders>
              <w:top w:val="nil"/>
              <w:left w:val="nil"/>
              <w:bottom w:val="nil"/>
              <w:right w:val="nil"/>
            </w:tcBorders>
            <w:shd w:val="clear" w:color="auto" w:fill="E8F3FF"/>
            <w:vAlign w:val="center"/>
          </w:tcPr>
          <w:p w:rsidR="00800F55" w:rsidRPr="00800F55" w:rsidRDefault="00800F55">
            <w:pPr>
              <w:widowControl w:val="0"/>
              <w:jc w:val="both"/>
            </w:pPr>
            <w:r w:rsidRPr="00800F55">
              <w:t>%</w:t>
            </w:r>
          </w:p>
        </w:tc>
        <w:tc>
          <w:tcPr>
            <w:tcW w:w="0" w:type="auto"/>
            <w:tcBorders>
              <w:top w:val="nil"/>
              <w:left w:val="nil"/>
              <w:bottom w:val="nil"/>
              <w:right w:val="nil"/>
            </w:tcBorders>
            <w:shd w:val="clear" w:color="auto" w:fill="E8F3FF"/>
            <w:vAlign w:val="center"/>
          </w:tcPr>
          <w:p w:rsidR="00800F55" w:rsidRPr="00800F55" w:rsidRDefault="00800F55">
            <w:pPr>
              <w:widowControl w:val="0"/>
              <w:jc w:val="both"/>
            </w:pPr>
            <w:r w:rsidRPr="00800F55">
              <w:t>абс.</w:t>
            </w:r>
          </w:p>
        </w:tc>
        <w:tc>
          <w:tcPr>
            <w:tcW w:w="0" w:type="auto"/>
            <w:tcBorders>
              <w:top w:val="nil"/>
              <w:left w:val="nil"/>
              <w:bottom w:val="nil"/>
              <w:right w:val="nil"/>
            </w:tcBorders>
            <w:shd w:val="clear" w:color="auto" w:fill="E8F3FF"/>
            <w:vAlign w:val="center"/>
          </w:tcPr>
          <w:p w:rsidR="00800F55" w:rsidRPr="00800F55" w:rsidRDefault="00800F55">
            <w:pPr>
              <w:widowControl w:val="0"/>
              <w:jc w:val="both"/>
            </w:pPr>
            <w:r w:rsidRPr="00800F55">
              <w:t>%</w:t>
            </w:r>
          </w:p>
        </w:tc>
        <w:tc>
          <w:tcPr>
            <w:tcW w:w="0" w:type="auto"/>
            <w:tcBorders>
              <w:top w:val="nil"/>
              <w:left w:val="nil"/>
              <w:bottom w:val="nil"/>
              <w:right w:val="nil"/>
            </w:tcBorders>
            <w:shd w:val="clear" w:color="auto" w:fill="E8F3FF"/>
            <w:vAlign w:val="center"/>
          </w:tcPr>
          <w:p w:rsidR="00800F55" w:rsidRPr="00800F55" w:rsidRDefault="00800F55">
            <w:pPr>
              <w:widowControl w:val="0"/>
              <w:jc w:val="both"/>
            </w:pPr>
            <w:r w:rsidRPr="00800F55">
              <w:t>абс.</w:t>
            </w:r>
          </w:p>
        </w:tc>
        <w:tc>
          <w:tcPr>
            <w:tcW w:w="0" w:type="auto"/>
            <w:tcBorders>
              <w:top w:val="nil"/>
              <w:left w:val="nil"/>
              <w:bottom w:val="nil"/>
              <w:right w:val="nil"/>
            </w:tcBorders>
            <w:shd w:val="clear" w:color="auto" w:fill="E8F3FF"/>
            <w:vAlign w:val="center"/>
          </w:tcPr>
          <w:p w:rsidR="00800F55" w:rsidRPr="00800F55" w:rsidRDefault="00800F55">
            <w:pPr>
              <w:widowControl w:val="0"/>
              <w:jc w:val="both"/>
            </w:pPr>
            <w:r w:rsidRPr="00800F55">
              <w:t>%</w:t>
            </w:r>
          </w:p>
        </w:tc>
      </w:tr>
      <w:tr w:rsidR="00800F55" w:rsidRPr="00800F55">
        <w:trPr>
          <w:tblCellSpacing w:w="15" w:type="dxa"/>
          <w:jc w:val="center"/>
        </w:trPr>
        <w:tc>
          <w:tcPr>
            <w:tcW w:w="0" w:type="auto"/>
            <w:tcBorders>
              <w:top w:val="nil"/>
              <w:left w:val="nil"/>
              <w:bottom w:val="nil"/>
              <w:right w:val="nil"/>
            </w:tcBorders>
            <w:vAlign w:val="center"/>
          </w:tcPr>
          <w:p w:rsidR="00800F55" w:rsidRPr="00800F55" w:rsidRDefault="00800F55">
            <w:pPr>
              <w:widowControl w:val="0"/>
              <w:jc w:val="both"/>
            </w:pPr>
            <w:r w:rsidRPr="00800F55">
              <w:t>1998</w:t>
            </w:r>
          </w:p>
        </w:tc>
        <w:tc>
          <w:tcPr>
            <w:tcW w:w="0" w:type="auto"/>
            <w:tcBorders>
              <w:top w:val="nil"/>
              <w:left w:val="nil"/>
              <w:bottom w:val="nil"/>
              <w:right w:val="nil"/>
            </w:tcBorders>
            <w:vAlign w:val="center"/>
          </w:tcPr>
          <w:p w:rsidR="00800F55" w:rsidRPr="00800F55" w:rsidRDefault="00800F55">
            <w:pPr>
              <w:widowControl w:val="0"/>
              <w:jc w:val="both"/>
            </w:pPr>
            <w:r w:rsidRPr="00800F55">
              <w:t>24</w:t>
            </w:r>
          </w:p>
        </w:tc>
        <w:tc>
          <w:tcPr>
            <w:tcW w:w="0" w:type="auto"/>
            <w:tcBorders>
              <w:top w:val="nil"/>
              <w:left w:val="nil"/>
              <w:bottom w:val="nil"/>
              <w:right w:val="nil"/>
            </w:tcBorders>
            <w:vAlign w:val="center"/>
          </w:tcPr>
          <w:p w:rsidR="00800F55" w:rsidRPr="00800F55" w:rsidRDefault="00800F55">
            <w:pPr>
              <w:widowControl w:val="0"/>
              <w:jc w:val="both"/>
            </w:pPr>
            <w:r w:rsidRPr="00800F55">
              <w:t>9</w:t>
            </w:r>
          </w:p>
        </w:tc>
        <w:tc>
          <w:tcPr>
            <w:tcW w:w="0" w:type="auto"/>
            <w:tcBorders>
              <w:top w:val="nil"/>
              <w:left w:val="nil"/>
              <w:bottom w:val="nil"/>
              <w:right w:val="nil"/>
            </w:tcBorders>
            <w:vAlign w:val="center"/>
          </w:tcPr>
          <w:p w:rsidR="00800F55" w:rsidRPr="00800F55" w:rsidRDefault="00800F55">
            <w:pPr>
              <w:widowControl w:val="0"/>
              <w:jc w:val="both"/>
            </w:pPr>
            <w:r w:rsidRPr="00800F55">
              <w:t>8</w:t>
            </w:r>
          </w:p>
        </w:tc>
        <w:tc>
          <w:tcPr>
            <w:tcW w:w="0" w:type="auto"/>
            <w:tcBorders>
              <w:top w:val="nil"/>
              <w:left w:val="nil"/>
              <w:bottom w:val="nil"/>
              <w:right w:val="nil"/>
            </w:tcBorders>
            <w:vAlign w:val="center"/>
          </w:tcPr>
          <w:p w:rsidR="00800F55" w:rsidRPr="00800F55" w:rsidRDefault="00800F55">
            <w:pPr>
              <w:widowControl w:val="0"/>
              <w:jc w:val="both"/>
            </w:pPr>
            <w:r w:rsidRPr="00800F55">
              <w:t>88,9%</w:t>
            </w:r>
          </w:p>
        </w:tc>
        <w:tc>
          <w:tcPr>
            <w:tcW w:w="0" w:type="auto"/>
            <w:tcBorders>
              <w:top w:val="nil"/>
              <w:left w:val="nil"/>
              <w:bottom w:val="nil"/>
              <w:right w:val="nil"/>
            </w:tcBorders>
            <w:vAlign w:val="center"/>
          </w:tcPr>
          <w:p w:rsidR="00800F55" w:rsidRPr="00800F55" w:rsidRDefault="00800F55">
            <w:pPr>
              <w:widowControl w:val="0"/>
              <w:jc w:val="both"/>
            </w:pPr>
            <w:r w:rsidRPr="00800F55">
              <w:t>1</w:t>
            </w:r>
          </w:p>
        </w:tc>
        <w:tc>
          <w:tcPr>
            <w:tcW w:w="0" w:type="auto"/>
            <w:tcBorders>
              <w:top w:val="nil"/>
              <w:left w:val="nil"/>
              <w:bottom w:val="nil"/>
              <w:right w:val="nil"/>
            </w:tcBorders>
            <w:vAlign w:val="center"/>
          </w:tcPr>
          <w:p w:rsidR="00800F55" w:rsidRPr="00800F55" w:rsidRDefault="00800F55">
            <w:pPr>
              <w:widowControl w:val="0"/>
              <w:jc w:val="both"/>
            </w:pPr>
            <w:r w:rsidRPr="00800F55">
              <w:t>11,1%</w:t>
            </w:r>
          </w:p>
        </w:tc>
        <w:tc>
          <w:tcPr>
            <w:tcW w:w="0" w:type="auto"/>
            <w:tcBorders>
              <w:top w:val="nil"/>
              <w:left w:val="nil"/>
              <w:bottom w:val="nil"/>
              <w:right w:val="nil"/>
            </w:tcBorders>
            <w:vAlign w:val="center"/>
          </w:tcPr>
          <w:p w:rsidR="00800F55" w:rsidRPr="00800F55" w:rsidRDefault="00800F55">
            <w:pPr>
              <w:widowControl w:val="0"/>
              <w:jc w:val="both"/>
            </w:pPr>
            <w:r w:rsidRPr="00800F55">
              <w:t>0</w:t>
            </w:r>
          </w:p>
        </w:tc>
        <w:tc>
          <w:tcPr>
            <w:tcW w:w="0" w:type="auto"/>
            <w:tcBorders>
              <w:top w:val="nil"/>
              <w:left w:val="nil"/>
              <w:bottom w:val="nil"/>
              <w:right w:val="nil"/>
            </w:tcBorders>
            <w:vAlign w:val="center"/>
          </w:tcPr>
          <w:p w:rsidR="00800F55" w:rsidRPr="00800F55" w:rsidRDefault="00800F55">
            <w:pPr>
              <w:widowControl w:val="0"/>
              <w:jc w:val="both"/>
            </w:pPr>
            <w:r w:rsidRPr="00800F55">
              <w:t>0,0%</w:t>
            </w:r>
          </w:p>
        </w:tc>
      </w:tr>
      <w:tr w:rsidR="00800F55" w:rsidRPr="00800F55">
        <w:trPr>
          <w:tblCellSpacing w:w="15" w:type="dxa"/>
          <w:jc w:val="center"/>
        </w:trPr>
        <w:tc>
          <w:tcPr>
            <w:tcW w:w="0" w:type="auto"/>
            <w:tcBorders>
              <w:top w:val="nil"/>
              <w:left w:val="nil"/>
              <w:bottom w:val="nil"/>
              <w:right w:val="nil"/>
            </w:tcBorders>
            <w:shd w:val="clear" w:color="auto" w:fill="E8F3FF"/>
            <w:vAlign w:val="center"/>
          </w:tcPr>
          <w:p w:rsidR="00800F55" w:rsidRPr="00800F55" w:rsidRDefault="00800F55">
            <w:pPr>
              <w:widowControl w:val="0"/>
              <w:jc w:val="both"/>
            </w:pPr>
            <w:r w:rsidRPr="00800F55">
              <w:t>1999</w:t>
            </w:r>
          </w:p>
        </w:tc>
        <w:tc>
          <w:tcPr>
            <w:tcW w:w="0" w:type="auto"/>
            <w:tcBorders>
              <w:top w:val="nil"/>
              <w:left w:val="nil"/>
              <w:bottom w:val="nil"/>
              <w:right w:val="nil"/>
            </w:tcBorders>
            <w:shd w:val="clear" w:color="auto" w:fill="E8F3FF"/>
            <w:vAlign w:val="center"/>
          </w:tcPr>
          <w:p w:rsidR="00800F55" w:rsidRPr="00800F55" w:rsidRDefault="00800F55">
            <w:pPr>
              <w:widowControl w:val="0"/>
              <w:jc w:val="both"/>
            </w:pPr>
            <w:r w:rsidRPr="00800F55">
              <w:t>46</w:t>
            </w:r>
          </w:p>
        </w:tc>
        <w:tc>
          <w:tcPr>
            <w:tcW w:w="0" w:type="auto"/>
            <w:tcBorders>
              <w:top w:val="nil"/>
              <w:left w:val="nil"/>
              <w:bottom w:val="nil"/>
              <w:right w:val="nil"/>
            </w:tcBorders>
            <w:shd w:val="clear" w:color="auto" w:fill="E8F3FF"/>
            <w:vAlign w:val="center"/>
          </w:tcPr>
          <w:p w:rsidR="00800F55" w:rsidRPr="00800F55" w:rsidRDefault="00800F55">
            <w:pPr>
              <w:widowControl w:val="0"/>
              <w:jc w:val="both"/>
            </w:pPr>
            <w:r w:rsidRPr="00800F55">
              <w:t>12</w:t>
            </w:r>
          </w:p>
        </w:tc>
        <w:tc>
          <w:tcPr>
            <w:tcW w:w="0" w:type="auto"/>
            <w:tcBorders>
              <w:top w:val="nil"/>
              <w:left w:val="nil"/>
              <w:bottom w:val="nil"/>
              <w:right w:val="nil"/>
            </w:tcBorders>
            <w:shd w:val="clear" w:color="auto" w:fill="E8F3FF"/>
            <w:vAlign w:val="center"/>
          </w:tcPr>
          <w:p w:rsidR="00800F55" w:rsidRPr="00800F55" w:rsidRDefault="00800F55">
            <w:pPr>
              <w:widowControl w:val="0"/>
              <w:jc w:val="both"/>
            </w:pPr>
            <w:r w:rsidRPr="00800F55">
              <w:t>9</w:t>
            </w:r>
          </w:p>
        </w:tc>
        <w:tc>
          <w:tcPr>
            <w:tcW w:w="0" w:type="auto"/>
            <w:tcBorders>
              <w:top w:val="nil"/>
              <w:left w:val="nil"/>
              <w:bottom w:val="nil"/>
              <w:right w:val="nil"/>
            </w:tcBorders>
            <w:shd w:val="clear" w:color="auto" w:fill="E8F3FF"/>
            <w:vAlign w:val="center"/>
          </w:tcPr>
          <w:p w:rsidR="00800F55" w:rsidRPr="00800F55" w:rsidRDefault="00800F55">
            <w:pPr>
              <w:widowControl w:val="0"/>
              <w:jc w:val="both"/>
            </w:pPr>
            <w:r w:rsidRPr="00800F55">
              <w:t>75,0%</w:t>
            </w:r>
          </w:p>
        </w:tc>
        <w:tc>
          <w:tcPr>
            <w:tcW w:w="0" w:type="auto"/>
            <w:tcBorders>
              <w:top w:val="nil"/>
              <w:left w:val="nil"/>
              <w:bottom w:val="nil"/>
              <w:right w:val="nil"/>
            </w:tcBorders>
            <w:shd w:val="clear" w:color="auto" w:fill="E8F3FF"/>
            <w:vAlign w:val="center"/>
          </w:tcPr>
          <w:p w:rsidR="00800F55" w:rsidRPr="00800F55" w:rsidRDefault="00800F55">
            <w:pPr>
              <w:widowControl w:val="0"/>
              <w:jc w:val="both"/>
            </w:pPr>
            <w:r w:rsidRPr="00800F55">
              <w:t>3</w:t>
            </w:r>
          </w:p>
        </w:tc>
        <w:tc>
          <w:tcPr>
            <w:tcW w:w="0" w:type="auto"/>
            <w:tcBorders>
              <w:top w:val="nil"/>
              <w:left w:val="nil"/>
              <w:bottom w:val="nil"/>
              <w:right w:val="nil"/>
            </w:tcBorders>
            <w:shd w:val="clear" w:color="auto" w:fill="E8F3FF"/>
            <w:vAlign w:val="center"/>
          </w:tcPr>
          <w:p w:rsidR="00800F55" w:rsidRPr="00800F55" w:rsidRDefault="00800F55">
            <w:pPr>
              <w:widowControl w:val="0"/>
              <w:jc w:val="both"/>
            </w:pPr>
            <w:r w:rsidRPr="00800F55">
              <w:t>25,0%</w:t>
            </w:r>
          </w:p>
        </w:tc>
        <w:tc>
          <w:tcPr>
            <w:tcW w:w="0" w:type="auto"/>
            <w:tcBorders>
              <w:top w:val="nil"/>
              <w:left w:val="nil"/>
              <w:bottom w:val="nil"/>
              <w:right w:val="nil"/>
            </w:tcBorders>
            <w:shd w:val="clear" w:color="auto" w:fill="E8F3FF"/>
            <w:vAlign w:val="center"/>
          </w:tcPr>
          <w:p w:rsidR="00800F55" w:rsidRPr="00800F55" w:rsidRDefault="00800F55">
            <w:pPr>
              <w:widowControl w:val="0"/>
              <w:jc w:val="both"/>
            </w:pPr>
            <w:r w:rsidRPr="00800F55">
              <w:t>0</w:t>
            </w:r>
          </w:p>
        </w:tc>
        <w:tc>
          <w:tcPr>
            <w:tcW w:w="0" w:type="auto"/>
            <w:tcBorders>
              <w:top w:val="nil"/>
              <w:left w:val="nil"/>
              <w:bottom w:val="nil"/>
              <w:right w:val="nil"/>
            </w:tcBorders>
            <w:shd w:val="clear" w:color="auto" w:fill="E8F3FF"/>
            <w:vAlign w:val="center"/>
          </w:tcPr>
          <w:p w:rsidR="00800F55" w:rsidRPr="00800F55" w:rsidRDefault="00800F55">
            <w:pPr>
              <w:widowControl w:val="0"/>
              <w:jc w:val="both"/>
            </w:pPr>
            <w:r w:rsidRPr="00800F55">
              <w:t>0,0%</w:t>
            </w:r>
          </w:p>
        </w:tc>
      </w:tr>
      <w:tr w:rsidR="00800F55" w:rsidRPr="00800F55">
        <w:trPr>
          <w:tblCellSpacing w:w="15" w:type="dxa"/>
          <w:jc w:val="center"/>
        </w:trPr>
        <w:tc>
          <w:tcPr>
            <w:tcW w:w="0" w:type="auto"/>
            <w:tcBorders>
              <w:top w:val="nil"/>
              <w:left w:val="nil"/>
              <w:bottom w:val="nil"/>
              <w:right w:val="nil"/>
            </w:tcBorders>
            <w:vAlign w:val="center"/>
          </w:tcPr>
          <w:p w:rsidR="00800F55" w:rsidRPr="00800F55" w:rsidRDefault="00800F55">
            <w:pPr>
              <w:widowControl w:val="0"/>
              <w:jc w:val="both"/>
            </w:pPr>
            <w:r w:rsidRPr="00800F55">
              <w:t>2000</w:t>
            </w:r>
          </w:p>
        </w:tc>
        <w:tc>
          <w:tcPr>
            <w:tcW w:w="0" w:type="auto"/>
            <w:tcBorders>
              <w:top w:val="nil"/>
              <w:left w:val="nil"/>
              <w:bottom w:val="nil"/>
              <w:right w:val="nil"/>
            </w:tcBorders>
            <w:vAlign w:val="center"/>
          </w:tcPr>
          <w:p w:rsidR="00800F55" w:rsidRPr="00800F55" w:rsidRDefault="00800F55">
            <w:pPr>
              <w:widowControl w:val="0"/>
              <w:jc w:val="both"/>
            </w:pPr>
            <w:r w:rsidRPr="00800F55">
              <w:t>62</w:t>
            </w:r>
          </w:p>
        </w:tc>
        <w:tc>
          <w:tcPr>
            <w:tcW w:w="0" w:type="auto"/>
            <w:tcBorders>
              <w:top w:val="nil"/>
              <w:left w:val="nil"/>
              <w:bottom w:val="nil"/>
              <w:right w:val="nil"/>
            </w:tcBorders>
            <w:vAlign w:val="center"/>
          </w:tcPr>
          <w:p w:rsidR="00800F55" w:rsidRPr="00800F55" w:rsidRDefault="00800F55">
            <w:pPr>
              <w:widowControl w:val="0"/>
              <w:jc w:val="both"/>
            </w:pPr>
            <w:r w:rsidRPr="00800F55">
              <w:t>26</w:t>
            </w:r>
          </w:p>
        </w:tc>
        <w:tc>
          <w:tcPr>
            <w:tcW w:w="0" w:type="auto"/>
            <w:tcBorders>
              <w:top w:val="nil"/>
              <w:left w:val="nil"/>
              <w:bottom w:val="nil"/>
              <w:right w:val="nil"/>
            </w:tcBorders>
            <w:vAlign w:val="center"/>
          </w:tcPr>
          <w:p w:rsidR="00800F55" w:rsidRPr="00800F55" w:rsidRDefault="00800F55">
            <w:pPr>
              <w:widowControl w:val="0"/>
              <w:jc w:val="both"/>
            </w:pPr>
            <w:r w:rsidRPr="00800F55">
              <w:t>24</w:t>
            </w:r>
          </w:p>
        </w:tc>
        <w:tc>
          <w:tcPr>
            <w:tcW w:w="0" w:type="auto"/>
            <w:tcBorders>
              <w:top w:val="nil"/>
              <w:left w:val="nil"/>
              <w:bottom w:val="nil"/>
              <w:right w:val="nil"/>
            </w:tcBorders>
            <w:vAlign w:val="center"/>
          </w:tcPr>
          <w:p w:rsidR="00800F55" w:rsidRPr="00800F55" w:rsidRDefault="00800F55">
            <w:pPr>
              <w:widowControl w:val="0"/>
              <w:jc w:val="both"/>
            </w:pPr>
            <w:r w:rsidRPr="00800F55">
              <w:t>92,3%</w:t>
            </w:r>
          </w:p>
        </w:tc>
        <w:tc>
          <w:tcPr>
            <w:tcW w:w="0" w:type="auto"/>
            <w:tcBorders>
              <w:top w:val="nil"/>
              <w:left w:val="nil"/>
              <w:bottom w:val="nil"/>
              <w:right w:val="nil"/>
            </w:tcBorders>
            <w:vAlign w:val="center"/>
          </w:tcPr>
          <w:p w:rsidR="00800F55" w:rsidRPr="00800F55" w:rsidRDefault="00800F55">
            <w:pPr>
              <w:widowControl w:val="0"/>
              <w:jc w:val="both"/>
            </w:pPr>
            <w:r w:rsidRPr="00800F55">
              <w:t>2</w:t>
            </w:r>
          </w:p>
        </w:tc>
        <w:tc>
          <w:tcPr>
            <w:tcW w:w="0" w:type="auto"/>
            <w:tcBorders>
              <w:top w:val="nil"/>
              <w:left w:val="nil"/>
              <w:bottom w:val="nil"/>
              <w:right w:val="nil"/>
            </w:tcBorders>
            <w:vAlign w:val="center"/>
          </w:tcPr>
          <w:p w:rsidR="00800F55" w:rsidRPr="00800F55" w:rsidRDefault="00800F55">
            <w:pPr>
              <w:widowControl w:val="0"/>
              <w:jc w:val="both"/>
            </w:pPr>
            <w:r w:rsidRPr="00800F55">
              <w:t>7,7%</w:t>
            </w:r>
          </w:p>
        </w:tc>
        <w:tc>
          <w:tcPr>
            <w:tcW w:w="0" w:type="auto"/>
            <w:tcBorders>
              <w:top w:val="nil"/>
              <w:left w:val="nil"/>
              <w:bottom w:val="nil"/>
              <w:right w:val="nil"/>
            </w:tcBorders>
            <w:vAlign w:val="center"/>
          </w:tcPr>
          <w:p w:rsidR="00800F55" w:rsidRPr="00800F55" w:rsidRDefault="00800F55">
            <w:pPr>
              <w:widowControl w:val="0"/>
              <w:jc w:val="both"/>
            </w:pPr>
            <w:r w:rsidRPr="00800F55">
              <w:t>0</w:t>
            </w:r>
          </w:p>
        </w:tc>
        <w:tc>
          <w:tcPr>
            <w:tcW w:w="0" w:type="auto"/>
            <w:tcBorders>
              <w:top w:val="nil"/>
              <w:left w:val="nil"/>
              <w:bottom w:val="nil"/>
              <w:right w:val="nil"/>
            </w:tcBorders>
            <w:vAlign w:val="center"/>
          </w:tcPr>
          <w:p w:rsidR="00800F55" w:rsidRPr="00800F55" w:rsidRDefault="00800F55">
            <w:pPr>
              <w:widowControl w:val="0"/>
              <w:jc w:val="both"/>
            </w:pPr>
            <w:r w:rsidRPr="00800F55">
              <w:t>0,0%</w:t>
            </w:r>
          </w:p>
        </w:tc>
      </w:tr>
      <w:tr w:rsidR="00800F55" w:rsidRPr="00800F55">
        <w:trPr>
          <w:tblCellSpacing w:w="15" w:type="dxa"/>
          <w:jc w:val="center"/>
        </w:trPr>
        <w:tc>
          <w:tcPr>
            <w:tcW w:w="0" w:type="auto"/>
            <w:tcBorders>
              <w:top w:val="nil"/>
              <w:left w:val="nil"/>
              <w:bottom w:val="nil"/>
              <w:right w:val="nil"/>
            </w:tcBorders>
            <w:shd w:val="clear" w:color="auto" w:fill="E8F3FF"/>
            <w:vAlign w:val="center"/>
          </w:tcPr>
          <w:p w:rsidR="00800F55" w:rsidRPr="00800F55" w:rsidRDefault="00800F55">
            <w:pPr>
              <w:widowControl w:val="0"/>
              <w:jc w:val="both"/>
            </w:pPr>
            <w:r w:rsidRPr="00800F55">
              <w:t>Всего</w:t>
            </w:r>
          </w:p>
        </w:tc>
        <w:tc>
          <w:tcPr>
            <w:tcW w:w="0" w:type="auto"/>
            <w:tcBorders>
              <w:top w:val="nil"/>
              <w:left w:val="nil"/>
              <w:bottom w:val="nil"/>
              <w:right w:val="nil"/>
            </w:tcBorders>
            <w:shd w:val="clear" w:color="auto" w:fill="E8F3FF"/>
            <w:vAlign w:val="center"/>
          </w:tcPr>
          <w:p w:rsidR="00800F55" w:rsidRPr="00800F55" w:rsidRDefault="00800F55">
            <w:pPr>
              <w:widowControl w:val="0"/>
              <w:jc w:val="both"/>
            </w:pPr>
            <w:r w:rsidRPr="00800F55">
              <w:t>132</w:t>
            </w:r>
          </w:p>
        </w:tc>
        <w:tc>
          <w:tcPr>
            <w:tcW w:w="0" w:type="auto"/>
            <w:tcBorders>
              <w:top w:val="nil"/>
              <w:left w:val="nil"/>
              <w:bottom w:val="nil"/>
              <w:right w:val="nil"/>
            </w:tcBorders>
            <w:shd w:val="clear" w:color="auto" w:fill="E8F3FF"/>
            <w:vAlign w:val="center"/>
          </w:tcPr>
          <w:p w:rsidR="00800F55" w:rsidRPr="00800F55" w:rsidRDefault="00800F55">
            <w:pPr>
              <w:widowControl w:val="0"/>
              <w:jc w:val="both"/>
            </w:pPr>
            <w:r w:rsidRPr="00800F55">
              <w:t>47</w:t>
            </w:r>
          </w:p>
        </w:tc>
        <w:tc>
          <w:tcPr>
            <w:tcW w:w="0" w:type="auto"/>
            <w:tcBorders>
              <w:top w:val="nil"/>
              <w:left w:val="nil"/>
              <w:bottom w:val="nil"/>
              <w:right w:val="nil"/>
            </w:tcBorders>
            <w:shd w:val="clear" w:color="auto" w:fill="E8F3FF"/>
            <w:vAlign w:val="center"/>
          </w:tcPr>
          <w:p w:rsidR="00800F55" w:rsidRPr="00800F55" w:rsidRDefault="00800F55">
            <w:pPr>
              <w:widowControl w:val="0"/>
              <w:jc w:val="both"/>
            </w:pPr>
            <w:r w:rsidRPr="00800F55">
              <w:t>41</w:t>
            </w:r>
          </w:p>
        </w:tc>
        <w:tc>
          <w:tcPr>
            <w:tcW w:w="0" w:type="auto"/>
            <w:tcBorders>
              <w:top w:val="nil"/>
              <w:left w:val="nil"/>
              <w:bottom w:val="nil"/>
              <w:right w:val="nil"/>
            </w:tcBorders>
            <w:shd w:val="clear" w:color="auto" w:fill="E8F3FF"/>
            <w:vAlign w:val="center"/>
          </w:tcPr>
          <w:p w:rsidR="00800F55" w:rsidRPr="00800F55" w:rsidRDefault="00800F55">
            <w:pPr>
              <w:widowControl w:val="0"/>
              <w:jc w:val="both"/>
            </w:pPr>
            <w:r w:rsidRPr="00800F55">
              <w:t>87,2%</w:t>
            </w:r>
          </w:p>
        </w:tc>
        <w:tc>
          <w:tcPr>
            <w:tcW w:w="0" w:type="auto"/>
            <w:tcBorders>
              <w:top w:val="nil"/>
              <w:left w:val="nil"/>
              <w:bottom w:val="nil"/>
              <w:right w:val="nil"/>
            </w:tcBorders>
            <w:shd w:val="clear" w:color="auto" w:fill="E8F3FF"/>
            <w:vAlign w:val="center"/>
          </w:tcPr>
          <w:p w:rsidR="00800F55" w:rsidRPr="00800F55" w:rsidRDefault="00800F55">
            <w:pPr>
              <w:widowControl w:val="0"/>
              <w:jc w:val="both"/>
            </w:pPr>
            <w:r w:rsidRPr="00800F55">
              <w:t>6</w:t>
            </w:r>
          </w:p>
        </w:tc>
        <w:tc>
          <w:tcPr>
            <w:tcW w:w="0" w:type="auto"/>
            <w:tcBorders>
              <w:top w:val="nil"/>
              <w:left w:val="nil"/>
              <w:bottom w:val="nil"/>
              <w:right w:val="nil"/>
            </w:tcBorders>
            <w:shd w:val="clear" w:color="auto" w:fill="E8F3FF"/>
            <w:vAlign w:val="center"/>
          </w:tcPr>
          <w:p w:rsidR="00800F55" w:rsidRPr="00800F55" w:rsidRDefault="00800F55">
            <w:pPr>
              <w:widowControl w:val="0"/>
              <w:jc w:val="both"/>
            </w:pPr>
            <w:r w:rsidRPr="00800F55">
              <w:t>12,8%</w:t>
            </w:r>
          </w:p>
        </w:tc>
        <w:tc>
          <w:tcPr>
            <w:tcW w:w="0" w:type="auto"/>
            <w:tcBorders>
              <w:top w:val="nil"/>
              <w:left w:val="nil"/>
              <w:bottom w:val="nil"/>
              <w:right w:val="nil"/>
            </w:tcBorders>
            <w:shd w:val="clear" w:color="auto" w:fill="E8F3FF"/>
            <w:vAlign w:val="center"/>
          </w:tcPr>
          <w:p w:rsidR="00800F55" w:rsidRPr="00800F55" w:rsidRDefault="00800F55">
            <w:pPr>
              <w:widowControl w:val="0"/>
              <w:jc w:val="both"/>
            </w:pPr>
            <w:r w:rsidRPr="00800F55">
              <w:t>0</w:t>
            </w:r>
          </w:p>
        </w:tc>
        <w:tc>
          <w:tcPr>
            <w:tcW w:w="0" w:type="auto"/>
            <w:tcBorders>
              <w:top w:val="nil"/>
              <w:left w:val="nil"/>
              <w:bottom w:val="nil"/>
              <w:right w:val="nil"/>
            </w:tcBorders>
            <w:shd w:val="clear" w:color="auto" w:fill="E8F3FF"/>
            <w:vAlign w:val="center"/>
          </w:tcPr>
          <w:p w:rsidR="00800F55" w:rsidRPr="00800F55" w:rsidRDefault="00800F55">
            <w:pPr>
              <w:widowControl w:val="0"/>
              <w:jc w:val="both"/>
            </w:pPr>
            <w:r w:rsidRPr="00800F55">
              <w:t>0,0%</w:t>
            </w:r>
          </w:p>
        </w:tc>
      </w:tr>
    </w:tbl>
    <w:p w:rsidR="00800F55" w:rsidRDefault="00605F59">
      <w:pPr>
        <w:widowControl w:val="0"/>
        <w:spacing w:before="120"/>
        <w:ind w:firstLine="567"/>
        <w:jc w:val="both"/>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5.75pt;height:169.5pt">
            <v:imagedata r:id="rId5" o:title="rsrezult"/>
          </v:shape>
        </w:pict>
      </w:r>
    </w:p>
    <w:p w:rsidR="00800F55" w:rsidRDefault="00800F55">
      <w:pPr>
        <w:widowControl w:val="0"/>
        <w:spacing w:before="120"/>
        <w:jc w:val="center"/>
        <w:rPr>
          <w:b/>
          <w:bCs/>
          <w:sz w:val="28"/>
          <w:szCs w:val="28"/>
        </w:rPr>
      </w:pPr>
      <w:r>
        <w:rPr>
          <w:b/>
          <w:bCs/>
          <w:sz w:val="28"/>
          <w:szCs w:val="28"/>
        </w:rPr>
        <w:t>Список литературы</w:t>
      </w:r>
    </w:p>
    <w:p w:rsidR="00800F55" w:rsidRDefault="00800F55">
      <w:pPr>
        <w:widowControl w:val="0"/>
        <w:spacing w:before="120"/>
        <w:ind w:firstLine="567"/>
        <w:jc w:val="both"/>
      </w:pPr>
      <w:r>
        <w:t>Копченкова Наталья Андреевна. Дезинтеграция нижних носовых раковин при лечении гипертрофических вазомоторно-аллергических ринитов.</w:t>
      </w:r>
    </w:p>
    <w:p w:rsidR="00800F55" w:rsidRDefault="00800F55">
      <w:pPr>
        <w:widowControl w:val="0"/>
        <w:spacing w:before="120"/>
        <w:ind w:firstLine="567"/>
        <w:jc w:val="both"/>
      </w:pPr>
      <w:bookmarkStart w:id="0" w:name="_GoBack"/>
      <w:bookmarkEnd w:id="0"/>
    </w:p>
    <w:sectPr w:rsidR="00800F55">
      <w:pgSz w:w="11906" w:h="16838"/>
      <w:pgMar w:top="1134" w:right="1134" w:bottom="1134" w:left="1134" w:header="1440" w:footer="1440"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14546F"/>
    <w:multiLevelType w:val="hybridMultilevel"/>
    <w:tmpl w:val="B6240238"/>
    <w:lvl w:ilvl="0" w:tplc="7A9E6932">
      <w:start w:val="1"/>
      <w:numFmt w:val="bullet"/>
      <w:lvlText w:val=""/>
      <w:lvlJc w:val="left"/>
      <w:pPr>
        <w:tabs>
          <w:tab w:val="num" w:pos="720"/>
        </w:tabs>
        <w:ind w:left="720" w:hanging="360"/>
      </w:pPr>
      <w:rPr>
        <w:rFonts w:ascii="Symbol" w:hAnsi="Symbol" w:cs="Symbol" w:hint="default"/>
        <w:sz w:val="20"/>
        <w:szCs w:val="20"/>
      </w:rPr>
    </w:lvl>
    <w:lvl w:ilvl="1" w:tplc="2E8E7334">
      <w:start w:val="1"/>
      <w:numFmt w:val="bullet"/>
      <w:lvlText w:val="o"/>
      <w:lvlJc w:val="left"/>
      <w:pPr>
        <w:tabs>
          <w:tab w:val="num" w:pos="1440"/>
        </w:tabs>
        <w:ind w:left="1440" w:hanging="360"/>
      </w:pPr>
      <w:rPr>
        <w:rFonts w:ascii="Courier New" w:hAnsi="Courier New" w:cs="Courier New" w:hint="default"/>
        <w:sz w:val="20"/>
        <w:szCs w:val="20"/>
      </w:rPr>
    </w:lvl>
    <w:lvl w:ilvl="2" w:tplc="142E9322">
      <w:start w:val="1"/>
      <w:numFmt w:val="bullet"/>
      <w:lvlText w:val=""/>
      <w:lvlJc w:val="left"/>
      <w:pPr>
        <w:tabs>
          <w:tab w:val="num" w:pos="2160"/>
        </w:tabs>
        <w:ind w:left="2160" w:hanging="360"/>
      </w:pPr>
      <w:rPr>
        <w:rFonts w:ascii="Wingdings" w:hAnsi="Wingdings" w:cs="Wingdings" w:hint="default"/>
        <w:sz w:val="20"/>
        <w:szCs w:val="20"/>
      </w:rPr>
    </w:lvl>
    <w:lvl w:ilvl="3" w:tplc="F140B2BA">
      <w:start w:val="1"/>
      <w:numFmt w:val="bullet"/>
      <w:lvlText w:val=""/>
      <w:lvlJc w:val="left"/>
      <w:pPr>
        <w:tabs>
          <w:tab w:val="num" w:pos="2880"/>
        </w:tabs>
        <w:ind w:left="2880" w:hanging="360"/>
      </w:pPr>
      <w:rPr>
        <w:rFonts w:ascii="Wingdings" w:hAnsi="Wingdings" w:cs="Wingdings" w:hint="default"/>
        <w:sz w:val="20"/>
        <w:szCs w:val="20"/>
      </w:rPr>
    </w:lvl>
    <w:lvl w:ilvl="4" w:tplc="0164A684">
      <w:start w:val="1"/>
      <w:numFmt w:val="bullet"/>
      <w:lvlText w:val=""/>
      <w:lvlJc w:val="left"/>
      <w:pPr>
        <w:tabs>
          <w:tab w:val="num" w:pos="3600"/>
        </w:tabs>
        <w:ind w:left="3600" w:hanging="360"/>
      </w:pPr>
      <w:rPr>
        <w:rFonts w:ascii="Wingdings" w:hAnsi="Wingdings" w:cs="Wingdings" w:hint="default"/>
        <w:sz w:val="20"/>
        <w:szCs w:val="20"/>
      </w:rPr>
    </w:lvl>
    <w:lvl w:ilvl="5" w:tplc="C0BA12D2">
      <w:start w:val="1"/>
      <w:numFmt w:val="bullet"/>
      <w:lvlText w:val=""/>
      <w:lvlJc w:val="left"/>
      <w:pPr>
        <w:tabs>
          <w:tab w:val="num" w:pos="4320"/>
        </w:tabs>
        <w:ind w:left="4320" w:hanging="360"/>
      </w:pPr>
      <w:rPr>
        <w:rFonts w:ascii="Wingdings" w:hAnsi="Wingdings" w:cs="Wingdings" w:hint="default"/>
        <w:sz w:val="20"/>
        <w:szCs w:val="20"/>
      </w:rPr>
    </w:lvl>
    <w:lvl w:ilvl="6" w:tplc="60203664">
      <w:start w:val="1"/>
      <w:numFmt w:val="bullet"/>
      <w:lvlText w:val=""/>
      <w:lvlJc w:val="left"/>
      <w:pPr>
        <w:tabs>
          <w:tab w:val="num" w:pos="5040"/>
        </w:tabs>
        <w:ind w:left="5040" w:hanging="360"/>
      </w:pPr>
      <w:rPr>
        <w:rFonts w:ascii="Wingdings" w:hAnsi="Wingdings" w:cs="Wingdings" w:hint="default"/>
        <w:sz w:val="20"/>
        <w:szCs w:val="20"/>
      </w:rPr>
    </w:lvl>
    <w:lvl w:ilvl="7" w:tplc="03EA7874">
      <w:start w:val="1"/>
      <w:numFmt w:val="bullet"/>
      <w:lvlText w:val=""/>
      <w:lvlJc w:val="left"/>
      <w:pPr>
        <w:tabs>
          <w:tab w:val="num" w:pos="5760"/>
        </w:tabs>
        <w:ind w:left="5760" w:hanging="360"/>
      </w:pPr>
      <w:rPr>
        <w:rFonts w:ascii="Wingdings" w:hAnsi="Wingdings" w:cs="Wingdings" w:hint="default"/>
        <w:sz w:val="20"/>
        <w:szCs w:val="20"/>
      </w:rPr>
    </w:lvl>
    <w:lvl w:ilvl="8" w:tplc="7060B19A">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71"/>
  <w:displayVerticalDrawingGridEvery w:val="2"/>
  <w:characterSpacingControl w:val="doNotCompress"/>
  <w:doNotValidateAgainstSchema/>
  <w:doNotDemarcateInvalidXml/>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533B5"/>
    <w:rsid w:val="00605F59"/>
    <w:rsid w:val="00800F55"/>
    <w:rsid w:val="00C533B5"/>
    <w:rsid w:val="00ED4CF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585456CD-C0D1-4F3B-82AE-C2542193AF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lsdException w:name="HTML Bottom of Form" w:semiHidden="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color w:val="000000"/>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Pr>
      <w:color w:val="auto"/>
      <w:u w:val="single"/>
    </w:rPr>
  </w:style>
  <w:style w:type="character" w:styleId="a4">
    <w:name w:val="FollowedHyperlink"/>
    <w:uiPriority w:val="99"/>
    <w:rPr>
      <w:color w:val="auto"/>
      <w:u w:val="single"/>
    </w:rPr>
  </w:style>
  <w:style w:type="paragraph" w:customStyle="1" w:styleId="txt">
    <w:name w:val="txt"/>
    <w:basedOn w:val="a"/>
    <w:uiPriority w:val="99"/>
    <w:pPr>
      <w:spacing w:before="100" w:beforeAutospacing="1" w:after="100" w:afterAutospacing="1"/>
    </w:pPr>
    <w:rPr>
      <w:rFonts w:ascii="Verdana" w:hAnsi="Verdana" w:cs="Verdana"/>
      <w:sz w:val="20"/>
      <w:szCs w:val="20"/>
    </w:rPr>
  </w:style>
  <w:style w:type="paragraph" w:customStyle="1" w:styleId="txtj">
    <w:name w:val="txtj"/>
    <w:basedOn w:val="a"/>
    <w:uiPriority w:val="99"/>
    <w:pPr>
      <w:spacing w:before="100" w:beforeAutospacing="1" w:after="100" w:afterAutospacing="1"/>
    </w:pPr>
    <w:rPr>
      <w:rFonts w:ascii="Arial" w:hAnsi="Arial" w:cs="Arial"/>
      <w:sz w:val="18"/>
      <w:szCs w:val="18"/>
    </w:rPr>
  </w:style>
  <w:style w:type="paragraph" w:customStyle="1" w:styleId="big">
    <w:name w:val="big"/>
    <w:basedOn w:val="a"/>
    <w:uiPriority w:val="99"/>
    <w:pPr>
      <w:spacing w:before="100" w:beforeAutospacing="1" w:after="100" w:afterAutospacing="1"/>
    </w:pPr>
    <w:rPr>
      <w:rFonts w:ascii="Arial" w:hAnsi="Arial" w:cs="Arial"/>
      <w:b/>
      <w:bCs/>
      <w:sz w:val="36"/>
      <w:szCs w:val="36"/>
    </w:rPr>
  </w:style>
  <w:style w:type="character" w:customStyle="1" w:styleId="txt1">
    <w:name w:val="txt1"/>
    <w:uiPriority w:val="99"/>
    <w:rPr>
      <w:rFonts w:ascii="Verdana" w:hAnsi="Verdana" w:cs="Verdana"/>
      <w:color w:val="000000"/>
      <w:sz w:val="20"/>
      <w:szCs w:val="20"/>
      <w:u w:val="none"/>
      <w:effect w:val="none"/>
    </w:rPr>
  </w:style>
  <w:style w:type="paragraph" w:styleId="a5">
    <w:name w:val="Normal (Web)"/>
    <w:basedOn w:val="a"/>
    <w:uiPriority w:val="99"/>
    <w:pPr>
      <w:spacing w:before="100" w:beforeAutospacing="1" w:after="100" w:afterAutospacing="1"/>
    </w:pPr>
  </w:style>
  <w:style w:type="paragraph" w:styleId="z-">
    <w:name w:val="HTML Top of Form"/>
    <w:basedOn w:val="a"/>
    <w:next w:val="a"/>
    <w:link w:val="z-0"/>
    <w:hidden/>
    <w:uiPriority w:val="99"/>
    <w:pPr>
      <w:pBdr>
        <w:bottom w:val="single" w:sz="6" w:space="1" w:color="auto"/>
      </w:pBdr>
      <w:jc w:val="center"/>
    </w:pPr>
    <w:rPr>
      <w:rFonts w:ascii="Arial" w:hAnsi="Arial" w:cs="Arial"/>
      <w:vanish/>
      <w:sz w:val="16"/>
      <w:szCs w:val="16"/>
    </w:rPr>
  </w:style>
  <w:style w:type="character" w:customStyle="1" w:styleId="z-0">
    <w:name w:val="z-Начало формы Знак"/>
    <w:link w:val="z-"/>
    <w:uiPriority w:val="99"/>
    <w:semiHidden/>
    <w:rPr>
      <w:rFonts w:ascii="Arial" w:hAnsi="Arial" w:cs="Arial"/>
      <w:vanish/>
      <w:color w:val="000000"/>
      <w:sz w:val="16"/>
      <w:szCs w:val="16"/>
    </w:rPr>
  </w:style>
  <w:style w:type="paragraph" w:styleId="z-1">
    <w:name w:val="HTML Bottom of Form"/>
    <w:basedOn w:val="a"/>
    <w:next w:val="a"/>
    <w:link w:val="z-2"/>
    <w:hidden/>
    <w:uiPriority w:val="99"/>
    <w:pPr>
      <w:pBdr>
        <w:top w:val="single" w:sz="6" w:space="1" w:color="auto"/>
      </w:pBdr>
      <w:jc w:val="center"/>
    </w:pPr>
    <w:rPr>
      <w:rFonts w:ascii="Arial" w:hAnsi="Arial" w:cs="Arial"/>
      <w:vanish/>
      <w:sz w:val="16"/>
      <w:szCs w:val="16"/>
    </w:rPr>
  </w:style>
  <w:style w:type="character" w:customStyle="1" w:styleId="z-2">
    <w:name w:val="z-Конец формы Знак"/>
    <w:link w:val="z-1"/>
    <w:uiPriority w:val="99"/>
    <w:semiHidden/>
    <w:rPr>
      <w:rFonts w:ascii="Arial" w:hAnsi="Arial" w:cs="Arial"/>
      <w:vanish/>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1627</Words>
  <Characters>928</Characters>
  <Application>Microsoft Office Word</Application>
  <DocSecurity>0</DocSecurity>
  <Lines>7</Lines>
  <Paragraphs>5</Paragraphs>
  <ScaleCrop>false</ScaleCrop>
  <HeadingPairs>
    <vt:vector size="2" baseType="variant">
      <vt:variant>
        <vt:lpstr>Название</vt:lpstr>
      </vt:variant>
      <vt:variant>
        <vt:i4>1</vt:i4>
      </vt:variant>
    </vt:vector>
  </HeadingPairs>
  <TitlesOfParts>
    <vt:vector size="1" baseType="lpstr">
      <vt:lpstr>лор - отоларинголог - ухо-горло-нос, популярно и научно о лор</vt:lpstr>
    </vt:vector>
  </TitlesOfParts>
  <Company>PERSONAL COMPUTERS</Company>
  <LinksUpToDate>false</LinksUpToDate>
  <CharactersWithSpaces>2550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лор - отоларинголог - ухо-горло-нос, популярно и научно о лор</dc:title>
  <dc:subject/>
  <dc:creator>USER</dc:creator>
  <cp:keywords/>
  <dc:description/>
  <cp:lastModifiedBy>admin</cp:lastModifiedBy>
  <cp:revision>2</cp:revision>
  <dcterms:created xsi:type="dcterms:W3CDTF">2014-01-26T15:10:00Z</dcterms:created>
  <dcterms:modified xsi:type="dcterms:W3CDTF">2014-01-26T15:10:00Z</dcterms:modified>
</cp:coreProperties>
</file>