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2390" w:rsidRDefault="00FD378B">
      <w:pPr>
        <w:pStyle w:val="21"/>
        <w:numPr>
          <w:ilvl w:val="0"/>
          <w:numId w:val="0"/>
        </w:numPr>
        <w:ind w:left="1418"/>
      </w:pPr>
      <w:r>
        <w:t>Экзистенционализм</w:t>
      </w:r>
    </w:p>
    <w:p w:rsidR="00B52390" w:rsidRDefault="00B52390">
      <w:pPr>
        <w:pStyle w:val="21"/>
        <w:numPr>
          <w:ilvl w:val="0"/>
          <w:numId w:val="0"/>
        </w:numPr>
        <w:ind w:left="1418"/>
        <w:rPr>
          <w:lang w:val="en-US"/>
        </w:rPr>
      </w:pPr>
    </w:p>
    <w:p w:rsidR="00B52390" w:rsidRDefault="00FD378B">
      <w:pPr>
        <w:pStyle w:val="21"/>
        <w:numPr>
          <w:ilvl w:val="0"/>
          <w:numId w:val="0"/>
        </w:numPr>
        <w:ind w:left="1418"/>
        <w:jc w:val="left"/>
      </w:pPr>
      <w:r>
        <w:t>ВВЕДЕНИЕ.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Экзистенционализм – философская концепция, в центре которой находится проблема абсурдности человеческого существования, одиночества, отчаяния и дисгармонии. Традиционно принято считать, что литература экзистенционализма возникла и развивалась в конце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- первой половине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 в работах Сартра, Камю, Кафки, Ионеско и др. Экзистенция нашла своё художественное воплощение и в лучших образах русской и белорусской литератур в творчестве Лермонтова, Тютчева, Гиппиус, Купалы, Достоевского, Л. Толстого, Булгакова... Ярким примером использования экзистенциональной эстетики в белорусской литературе является творчество Василя Быкова (замечу в скобках, так до сих пор и не исследованное литературной критикой в этом ключе). А значит остаётся непознанным и нераскрытым целый пласт литературно-философского наследия писателя со всеми вложенными в него автором смыслами.</w:t>
      </w: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Василь Быков пишет про войну как трагедию, но разве не большая опасность таится подчас в равнодушной суете так называемой мирной жизни? Эти и многие другие проблемы автор раскрывает в рассказе “Стена”, на примере которого мы попытаемся продолжить разработку концепции Абсурдного, а также обозначить экзистенциональные мотивы и выделить основные тенденции, выраженные в произведении.</w:t>
      </w:r>
    </w:p>
    <w:p w:rsidR="00B52390" w:rsidRDefault="00FD378B">
      <w:pPr>
        <w:ind w:left="567" w:firstLine="851"/>
        <w:rPr>
          <w:sz w:val="24"/>
          <w:szCs w:val="24"/>
        </w:rPr>
      </w:pPr>
      <w:r>
        <w:rPr>
          <w:sz w:val="24"/>
          <w:szCs w:val="24"/>
        </w:rPr>
        <w:t xml:space="preserve"> Василь Быков в своём творчестве пытается познать, понять и наполнить смыслом жизнь, открывая перед читателем свой мир, философия которого наполняет душу разумеющему.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Жизнь человеческая – ни начала, ни конца, ни граней, ни горизонтов; всё находится в постоянном непрерывном движении, бесформенно и аморфно, словом - величайший  хаос ... или, при ближайшем рассмотрении, гармония??? Нам, вкусившим от дерева познания, свойственно устойчивое ощущение, что мир абсурден; нас страшит полное загадок Бытие и его неминуемое логическое завершение – смерть. Само   существование – трагедия; зло в мире неисчерпаемо, добро эфемерно, а человек одинок и оставлен на произвол злодейки-судьбы силой неумолимой, жестокой и таинственной. И что-то омерзительно-жгучее встаёт комом в горле, перехватывая дыхание, когда ощущаешь себя в тупике, откуда и смерть –  не выход.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Быков психологически точно показывает переживание героя, политзаключённого, открывает читателю его внутренний мир, сотканный из призрачных воспоминаний, то трогательных, то обречённо-равнодушных.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 Вот возникает образ возлюбленной, которой, пока он был ТАМ, рядом с ней, не успел сказать те главные слова, которые давно уже звучали в его сердце; а вот  из глубин сознания появляется смутная тёмная масса «друзей», руками которых рок сумел запрятать его в этот каменный гроб. Здесь звучит христианский мотив всепрощения: вспоминая, герой воспринимает предательство только как свершившийся факт и не стремится к мщению, а лишь сожалеет о былом, потерянном для него счастье и о невозможности вырваться из опостылевшего ему каменного каземата.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Произведение абстрактно и символично. Его безымянный герой живёт в безымянной стране, в которой господствует жёсткая диктатура, - она-то и бросила его в одиночную камеру каменной тюрьмы. Эта ситуация вневременная и трагическая; в этом конфликте абсурдистская действительность в лице государства беспощадно уничтожает того, кто является маленькой частью всей гигантской машины. “Винтик” стал неугоден и исчез, как по мановению невидимой волшебной палочки.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Чтобы не сойти с ума, ему остаётся только надеяться. Людям вообще свойственно верить в то, что сможет “спасти” их в минуту опасности. “Главное – вырваться на волю...[он] встал на колени и перекрестился. Конечно, он был не слишком религиозным, но всё же... Должно быть, для очень великой, благородной цели все средства хороши – и сатанинские, и Божьи. Лишь бы помогли.”</w:t>
      </w:r>
      <w:r>
        <w:rPr>
          <w:rStyle w:val="12"/>
          <w:sz w:val="24"/>
          <w:szCs w:val="24"/>
        </w:rPr>
        <w:footnoteReference w:id="1"/>
      </w:r>
      <w:r>
        <w:rPr>
          <w:sz w:val="24"/>
          <w:szCs w:val="24"/>
        </w:rPr>
        <w:t xml:space="preserve"> Сия идея представляется мне чистейшим абсурдом. Служить и лукавому, и  всевышнему? Организовать дешёвенький фарсик, чтобы насмешить разве что Вечность? Истинное зло невозможно “отменить”  или  “изменить в  расписании” – вечное, аморфное, вездесущее, оно комфортно расположилось внутри нас. Странное чувство – надежда, преследующая Человека подобно приставучей навозной мухе. </w:t>
      </w:r>
    </w:p>
    <w:p w:rsidR="00B52390" w:rsidRDefault="00B52390">
      <w:pPr>
        <w:ind w:left="567" w:firstLine="851"/>
        <w:jc w:val="center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Невозможно выжить без неё здесь, на земле, а после смерти (эта ипостасия трактуется нами как доступ к сущему и непреложному) выходит, что она не нужна, ибо начертано над входом в чертоги Аида</w:t>
      </w:r>
      <w:r>
        <w:rPr>
          <w:rStyle w:val="12"/>
          <w:sz w:val="24"/>
          <w:szCs w:val="24"/>
        </w:rPr>
        <w:footnoteReference w:id="2"/>
      </w:r>
      <w:r>
        <w:rPr>
          <w:sz w:val="24"/>
          <w:szCs w:val="24"/>
        </w:rPr>
        <w:t>: “Оставь надежду, всяк сюда входящий...”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Понимая бессмысленность бунта, герой долгие годы “не шевелится”, но проклятая, кажущаяся спасительной глыба кардинально меняет всю его жизнь. С этого момента он точит камень. А камень точит его. И сказано в Екклисиасте: “...суета сует –  всё суета. Что пользы человеку от всех трудов его, которыми трудится он под солнцем?..” Ему понять бы, что ничего нельзя изменить в этом мире абсурда и ни труд, ни мысль, ни память о прошлом не в состоянии дать человеку ощущение, что его деятельность благотворна и ведёт к исправлению абсурдистской дисгармонии мира. Герой подобен Сизифу, обречённому богами вечно вкатывать на вершину горы огромный камень, откуда он под собственной тяжестью вновь и вновь низвергается к подножию. “Боги не без оснований полагали, что нет кары ужаснее, чем нескончаемая работа без пользы.”</w:t>
      </w:r>
      <w:r>
        <w:rPr>
          <w:rStyle w:val="12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другой стороны, герой не может сидеть сложа руки, дожидаясь свершения заведомо известного хода событий: одиночество, уныние и жалкая кончина. Однако и “побег” - абсурдная ситуация; во всей драме жизни нет ни положительного, ни отрицательного начала: предприми попытку, ты об этом пожалеешь, “не шевелись”, ты и  об этом пожалеешь, ты пожалеешь и в том и в другом случае... Таково резюме жизненной мудрости. Принято считать – и в мировой литературе  это проиллюстрировано – что  у  человека  есть выбор. Можно избрать  то, а   можно - другое. В какое-то мгновение человек становится героем или предателем, палачом или жертвой... Экзистентное же сознание  полагает, что у нас выбора, по существу, нет в силу абсурдистского мироустройства. Такое положение условно можно определить термином </w:t>
      </w:r>
      <w:r>
        <w:rPr>
          <w:i/>
          <w:iCs/>
          <w:sz w:val="24"/>
          <w:szCs w:val="24"/>
        </w:rPr>
        <w:t>“цугцванг”</w:t>
      </w:r>
      <w:r>
        <w:rPr>
          <w:sz w:val="24"/>
          <w:szCs w:val="24"/>
        </w:rPr>
        <w:t xml:space="preserve"> (в шахматах – расположение фигур, при котором любой ход приводит к проигрышу). Человеку только кажется, что у него есть выбор между плохим и хорошим. На самом деле выбор только между плохим и ещё худшим. Что же грядёт в глухих буднях тюремного заточения? Отсидка в одиночках или общих камерах при неизменном, в силу привычки уже ставшем нормой жизни одиночестве, полное уныние вперемежку с созерцанием в полугрёзах идеального образа ныне далёкой и чужой возлюбленной, а также неплохие шансы сойти с ума через вечность-другую... А там, за стеной, вожделенная свобода, а там... “Как босому будет на воле, не хотелось думать. Главное – вырваться на эту волю”, “теперь ему бы только сказать, что он любит её и что он не предатель. Он – жертва.”</w:t>
      </w:r>
      <w:r>
        <w:rPr>
          <w:rStyle w:val="12"/>
          <w:sz w:val="24"/>
          <w:szCs w:val="24"/>
        </w:rPr>
        <w:footnoteReference w:id="4"/>
      </w:r>
      <w:r>
        <w:rPr>
          <w:sz w:val="24"/>
          <w:szCs w:val="24"/>
        </w:rPr>
        <w:t xml:space="preserve"> (!) Трогательное зрелище: обросший дядька, босой и в изношенных тюремных лохмотьях, бежит “на волю”, переполняясь по очереди всеми известными человечеству чувствами, но, по законам жанра, появляется чья-то неведомая, но могущественная рука и – “за ушко и на солнышко”. Интересная система: есть государство, и есть люди, и ещё есть Кто-То, в чьей власти управлять ими, как опытный кукловод марионетками на ярмарочном представлении – полнейший абсурд, если учесть, что при этом все довольны и счастливы... Именно в их   - цивилизованного общества, толпы (называйте как хотите!) – власти отвергнуть его, кинуть в Лету или сделать своим властелином.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для более глубокого понимания вложенных автором в произведение смыслов необходимо учитывать хронотоп – категории пространства и времени в их взаимосвязи  и взаимообусловленности.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Образ стены является базовым в произведении, от названия и вплоть до самых последних строк. Стена – это преграда, физическое препятствие в пространстве, отделяющее героя от столь вожделенного для него внешнего мира, “воли”; психологический барьер в социальных отношениях людей: “Человек, думая, что врастает в жизнь, врастал в собственные стены”</w:t>
      </w:r>
      <w:r>
        <w:rPr>
          <w:rStyle w:val="12"/>
          <w:sz w:val="24"/>
          <w:szCs w:val="24"/>
        </w:rPr>
        <w:footnoteReference w:id="5"/>
      </w:r>
      <w:r>
        <w:rPr>
          <w:sz w:val="24"/>
          <w:szCs w:val="24"/>
        </w:rPr>
        <w:t>, - одним словом, образ не случаен и является своеобразным символом, преграждающим путь человека к познанию тайн Бытия.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Герой довольствуется очень малым жизненным пространством: тюремная камера-колодец, сырая и тёмная – “пять шагов вдоль и три поперёк”. За стеной – безграничное Неведомое: “Обычно по ту сторону была манящая, недоступная для него воля... А может, за стеной не было никого.”</w:t>
      </w:r>
      <w:r>
        <w:rPr>
          <w:rStyle w:val="12"/>
          <w:sz w:val="24"/>
          <w:szCs w:val="24"/>
        </w:rPr>
        <w:footnoteReference w:id="6"/>
      </w:r>
      <w:r>
        <w:rPr>
          <w:sz w:val="24"/>
          <w:szCs w:val="24"/>
        </w:rPr>
        <w:t xml:space="preserve"> Всю жизнь мы жмёмся по комнатушкам, теряемся по углам, пытаясь отгородить их от остального, “общего” пространства и сделать “своими”. Сам герой сознательно сужает своё жизненное  пространство до “полезного” тёмного и сырого угла, в котором видит он своё спасение. Итак, комната, камера, “угол” - всё это символы замкнутого пространства. И недаром категория ТОГО, что за стеной, не обозначена: </w:t>
      </w:r>
      <w:r>
        <w:rPr>
          <w:sz w:val="24"/>
          <w:szCs w:val="24"/>
          <w:lang w:val="en-US"/>
        </w:rPr>
        <w:t>Homo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Sapiens</w:t>
      </w:r>
      <w:r>
        <w:rPr>
          <w:sz w:val="24"/>
          <w:szCs w:val="24"/>
        </w:rPr>
        <w:t xml:space="preserve"> нет туда доступа, ибо, что бы ни происходило в жизни, человек не в силах разрушить стены, отделяющие его от мира. Уже фактом своего рождения он одинок во </w:t>
      </w:r>
      <w:r>
        <w:rPr>
          <w:i/>
          <w:iCs/>
          <w:sz w:val="24"/>
          <w:szCs w:val="24"/>
        </w:rPr>
        <w:t>Вселенной</w:t>
      </w:r>
      <w:r>
        <w:rPr>
          <w:sz w:val="24"/>
          <w:szCs w:val="24"/>
        </w:rPr>
        <w:t>. Сейчас герою трудно представить в своей судьбе что-либо кроме “этой вот каменной норы”, с которой он успел сжиться, свыкнуться. Сизиф, возвращаясь к своему камню, тоже созерцает череду бессвязных действий, которая и стала его судьбой.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А как ведёт себя здесь время? Изучение прошлого – акт бессмысленный, так как  оно ушло, оставив после себя лишь жалкие, бестолковые свои знаки, тут-там нацарапанные на древних камнях, до коих никому нет дела. Будущее – химера, сладкий сон, усыпляющий разум. Реально одно настоящее – единый миг, здесь и сейчас; время осталось там, за тяжёлыми железными засовами, где лето сменяет весну и всё идёт своим чередом – он же “не считал дней и не знал, сколько их минуло с тех пор, как он погрузился в свою бесконечную работу.”</w:t>
      </w:r>
      <w:r>
        <w:rPr>
          <w:rStyle w:val="12"/>
          <w:sz w:val="24"/>
          <w:szCs w:val="24"/>
        </w:rPr>
        <w:footnoteReference w:id="7"/>
      </w:r>
      <w:r>
        <w:rPr>
          <w:sz w:val="24"/>
          <w:szCs w:val="24"/>
        </w:rPr>
        <w:t xml:space="preserve"> В “Мифе о Сизифе” “можно лишь представить себе предельное напряжение мышц, необходимое, чтобы сдвинуть огромный камень, покатить его вверх и карабкаться вслед за ним по склону, стократ всё повторяя сызнова; можно представить себе застывшее в судороге лицо, прилипшую к камню, плечо, которым подпёрта глыба, обмазанная глиной, ногу, поставленную вместо клина, перехватывающие ладони, особую человеческую уверенность двух рук, испачканных землёй. В самом конце долгих усилий, измеряемых пространством без неба над головой и временем без глубины, цель достигнута.”</w:t>
      </w:r>
      <w:r>
        <w:rPr>
          <w:rStyle w:val="12"/>
          <w:sz w:val="24"/>
          <w:szCs w:val="24"/>
        </w:rPr>
        <w:footnoteReference w:id="8"/>
      </w:r>
      <w:r>
        <w:rPr>
          <w:sz w:val="24"/>
          <w:szCs w:val="24"/>
        </w:rPr>
        <w:t xml:space="preserve"> В “ Стене” это  выразилось в том, что ценой почти нечеловеческих усилий герою удаётся-таки освободиться и попасть ТУДА, по ту сторону </w:t>
      </w:r>
      <w:r>
        <w:rPr>
          <w:i/>
          <w:iCs/>
          <w:sz w:val="24"/>
          <w:szCs w:val="24"/>
        </w:rPr>
        <w:t>стены</w:t>
      </w:r>
      <w:r>
        <w:rPr>
          <w:sz w:val="24"/>
          <w:szCs w:val="24"/>
        </w:rPr>
        <w:t>. Но всякому нарушителю законов Бытия, проникнувшему в сферу Невозможного – несознаваемого для человека, а потому запрещённого – уготовлена страшная участь. ТОТ загадочный и очень гостеприимный мир  с радостью делится своими тайнами со всеми желающими приобщиться к ним, но он слишком жадный и никогда не выпускает случайных гостей, а ныне вечных  пленников, из своих гостеприимных объятий. Ловушка захлопнулась. Тупик.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Жизнь здесь не имеет никакого смысла, равно как и смерть; совсем не родиться лучше, чем жить и умереть; здесь царство вечного хаоса, абсурда, в котором петля -  единственное напоминание о том, прошлом мире, куда нет возврата...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выявления полной картины экзистенциональных мотивов в произведении необходимо учитывать спектр основных проблем, интересующих экзистенционалистов, как-то: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numPr>
          <w:ilvl w:val="0"/>
          <w:numId w:val="1"/>
        </w:numPr>
        <w:tabs>
          <w:tab w:val="left" w:pos="3196"/>
        </w:tabs>
        <w:ind w:left="3196"/>
        <w:jc w:val="both"/>
        <w:rPr>
          <w:sz w:val="24"/>
          <w:szCs w:val="24"/>
        </w:rPr>
      </w:pPr>
      <w:r>
        <w:rPr>
          <w:sz w:val="24"/>
          <w:szCs w:val="24"/>
        </w:rPr>
        <w:t>Абсурд</w:t>
      </w:r>
    </w:p>
    <w:p w:rsidR="00B52390" w:rsidRDefault="00FD378B">
      <w:pPr>
        <w:numPr>
          <w:ilvl w:val="0"/>
          <w:numId w:val="1"/>
        </w:numPr>
        <w:tabs>
          <w:tab w:val="left" w:pos="3196"/>
        </w:tabs>
        <w:ind w:left="3196"/>
        <w:jc w:val="both"/>
        <w:rPr>
          <w:sz w:val="24"/>
          <w:szCs w:val="24"/>
        </w:rPr>
      </w:pPr>
      <w:r>
        <w:rPr>
          <w:sz w:val="24"/>
          <w:szCs w:val="24"/>
        </w:rPr>
        <w:t>одиночество</w:t>
      </w:r>
    </w:p>
    <w:p w:rsidR="00B52390" w:rsidRDefault="00FD378B">
      <w:pPr>
        <w:numPr>
          <w:ilvl w:val="0"/>
          <w:numId w:val="1"/>
        </w:numPr>
        <w:tabs>
          <w:tab w:val="left" w:pos="3196"/>
        </w:tabs>
        <w:ind w:left="3196"/>
        <w:jc w:val="both"/>
        <w:rPr>
          <w:sz w:val="24"/>
          <w:szCs w:val="24"/>
        </w:rPr>
      </w:pPr>
      <w:r>
        <w:rPr>
          <w:sz w:val="24"/>
          <w:szCs w:val="24"/>
        </w:rPr>
        <w:t>толпа</w:t>
      </w:r>
    </w:p>
    <w:p w:rsidR="00B52390" w:rsidRDefault="00FD378B">
      <w:pPr>
        <w:numPr>
          <w:ilvl w:val="0"/>
          <w:numId w:val="1"/>
        </w:numPr>
        <w:tabs>
          <w:tab w:val="left" w:pos="3196"/>
        </w:tabs>
        <w:ind w:left="3196"/>
        <w:jc w:val="both"/>
        <w:rPr>
          <w:sz w:val="24"/>
          <w:szCs w:val="24"/>
        </w:rPr>
      </w:pPr>
      <w:r>
        <w:rPr>
          <w:sz w:val="24"/>
          <w:szCs w:val="24"/>
        </w:rPr>
        <w:t>бунт</w:t>
      </w:r>
    </w:p>
    <w:p w:rsidR="00B52390" w:rsidRDefault="00FD378B">
      <w:pPr>
        <w:numPr>
          <w:ilvl w:val="0"/>
          <w:numId w:val="1"/>
        </w:numPr>
        <w:tabs>
          <w:tab w:val="left" w:pos="3196"/>
        </w:tabs>
        <w:ind w:left="3196"/>
        <w:jc w:val="both"/>
        <w:rPr>
          <w:sz w:val="24"/>
          <w:szCs w:val="24"/>
        </w:rPr>
      </w:pPr>
      <w:r>
        <w:rPr>
          <w:sz w:val="24"/>
          <w:szCs w:val="24"/>
        </w:rPr>
        <w:t>существование и сущность</w:t>
      </w:r>
    </w:p>
    <w:p w:rsidR="00B52390" w:rsidRDefault="00FD378B">
      <w:pPr>
        <w:numPr>
          <w:ilvl w:val="0"/>
          <w:numId w:val="1"/>
        </w:numPr>
        <w:tabs>
          <w:tab w:val="left" w:pos="3196"/>
        </w:tabs>
        <w:ind w:left="3196"/>
        <w:jc w:val="both"/>
        <w:rPr>
          <w:sz w:val="24"/>
          <w:szCs w:val="24"/>
        </w:rPr>
      </w:pPr>
      <w:r>
        <w:rPr>
          <w:sz w:val="24"/>
          <w:szCs w:val="24"/>
        </w:rPr>
        <w:t>“самость”</w:t>
      </w:r>
    </w:p>
    <w:p w:rsidR="00B52390" w:rsidRDefault="00FD378B">
      <w:pPr>
        <w:numPr>
          <w:ilvl w:val="0"/>
          <w:numId w:val="1"/>
        </w:numPr>
        <w:tabs>
          <w:tab w:val="left" w:pos="3196"/>
        </w:tabs>
        <w:ind w:left="3196"/>
        <w:jc w:val="both"/>
        <w:rPr>
          <w:sz w:val="24"/>
          <w:szCs w:val="24"/>
        </w:rPr>
      </w:pPr>
      <w:r>
        <w:rPr>
          <w:sz w:val="24"/>
          <w:szCs w:val="24"/>
        </w:rPr>
        <w:t>время и пространство</w:t>
      </w:r>
    </w:p>
    <w:p w:rsidR="00B52390" w:rsidRDefault="00FD378B">
      <w:pPr>
        <w:numPr>
          <w:ilvl w:val="0"/>
          <w:numId w:val="1"/>
        </w:numPr>
        <w:tabs>
          <w:tab w:val="left" w:pos="3196"/>
        </w:tabs>
        <w:ind w:left="3196"/>
        <w:jc w:val="both"/>
        <w:rPr>
          <w:sz w:val="24"/>
          <w:szCs w:val="24"/>
        </w:rPr>
      </w:pPr>
      <w:r>
        <w:rPr>
          <w:sz w:val="24"/>
          <w:szCs w:val="24"/>
        </w:rPr>
        <w:t>история</w:t>
      </w:r>
    </w:p>
    <w:p w:rsidR="00B52390" w:rsidRDefault="00FD378B">
      <w:pPr>
        <w:numPr>
          <w:ilvl w:val="0"/>
          <w:numId w:val="1"/>
        </w:numPr>
        <w:tabs>
          <w:tab w:val="left" w:pos="3196"/>
        </w:tabs>
        <w:ind w:left="3196"/>
        <w:jc w:val="both"/>
        <w:rPr>
          <w:sz w:val="24"/>
          <w:szCs w:val="24"/>
        </w:rPr>
      </w:pPr>
      <w:r>
        <w:rPr>
          <w:sz w:val="24"/>
          <w:szCs w:val="24"/>
        </w:rPr>
        <w:t>цугцванг</w:t>
      </w:r>
    </w:p>
    <w:p w:rsidR="00B52390" w:rsidRDefault="00FD378B">
      <w:pPr>
        <w:numPr>
          <w:ilvl w:val="0"/>
          <w:numId w:val="1"/>
        </w:numPr>
        <w:tabs>
          <w:tab w:val="left" w:pos="3196"/>
        </w:tabs>
        <w:ind w:left="3196"/>
        <w:jc w:val="both"/>
        <w:rPr>
          <w:sz w:val="24"/>
          <w:szCs w:val="24"/>
        </w:rPr>
      </w:pPr>
      <w:r>
        <w:rPr>
          <w:sz w:val="24"/>
          <w:szCs w:val="24"/>
        </w:rPr>
        <w:t>«очуждение»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Каждая из этих категорий выражена в произведении в той или иной степени, но авторская тенденция наиболее представлена в следующих пунктах: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numPr>
          <w:ilvl w:val="0"/>
          <w:numId w:val="2"/>
        </w:numPr>
        <w:tabs>
          <w:tab w:val="left" w:pos="3271"/>
        </w:tabs>
        <w:ind w:left="327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абсурд государственного устройства</w:t>
      </w:r>
      <w:r>
        <w:rPr>
          <w:sz w:val="24"/>
          <w:szCs w:val="24"/>
        </w:rPr>
        <w:t xml:space="preserve"> – алогичность общественно-исторического процесса свидетельствует о реальности той субстанции, которую экзистенционалисты нарекли “абсурдом”;</w:t>
      </w:r>
    </w:p>
    <w:p w:rsidR="00B52390" w:rsidRDefault="00FD378B">
      <w:pPr>
        <w:numPr>
          <w:ilvl w:val="0"/>
          <w:numId w:val="2"/>
        </w:numPr>
        <w:tabs>
          <w:tab w:val="left" w:pos="3271"/>
        </w:tabs>
        <w:ind w:left="327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одиночество</w:t>
      </w:r>
      <w:r>
        <w:rPr>
          <w:sz w:val="24"/>
          <w:szCs w:val="24"/>
        </w:rPr>
        <w:t xml:space="preserve"> – об этом свидетельствует замкнутость героя в себе и для себя, почти полное осознание разорванности связей между ним, находящимся за стеной, и остальным миром;</w:t>
      </w:r>
    </w:p>
    <w:p w:rsidR="00B52390" w:rsidRDefault="00FD378B">
      <w:pPr>
        <w:numPr>
          <w:ilvl w:val="0"/>
          <w:numId w:val="2"/>
        </w:numPr>
        <w:tabs>
          <w:tab w:val="left" w:pos="3271"/>
        </w:tabs>
        <w:ind w:left="327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бунт</w:t>
      </w:r>
      <w:r>
        <w:rPr>
          <w:sz w:val="24"/>
          <w:szCs w:val="24"/>
        </w:rPr>
        <w:t xml:space="preserve"> – активная реакция человека на абсурд; предполагает наличие права на совершение любых поступков, вплоть до суицида. Пленник стремится освободиться из оков: он с неимоверным упорством ищет слабое место в стене древнего сооружения и через полгода нечеловеческих усилий, незамеченный тюремщиками, делает “узкий и глубокий лаз”, достаточный для того, чтобы выбраться из ненавистной камеры;</w:t>
      </w:r>
    </w:p>
    <w:p w:rsidR="00B52390" w:rsidRDefault="00FD378B">
      <w:pPr>
        <w:numPr>
          <w:ilvl w:val="0"/>
          <w:numId w:val="2"/>
        </w:numPr>
        <w:tabs>
          <w:tab w:val="left" w:pos="3271"/>
        </w:tabs>
        <w:ind w:left="327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время и пространство</w:t>
      </w:r>
      <w:r>
        <w:rPr>
          <w:sz w:val="24"/>
          <w:szCs w:val="24"/>
        </w:rPr>
        <w:t xml:space="preserve"> – категории, на которые ставит основной акцент автор. Стена – преграда, невозможность проникнуть за пределы осязаемого и осознаваемого;</w:t>
      </w:r>
    </w:p>
    <w:p w:rsidR="00B52390" w:rsidRDefault="00FD378B">
      <w:pPr>
        <w:numPr>
          <w:ilvl w:val="0"/>
          <w:numId w:val="2"/>
        </w:numPr>
        <w:tabs>
          <w:tab w:val="left" w:pos="3271"/>
        </w:tabs>
        <w:ind w:left="327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цугцванг</w:t>
      </w:r>
      <w:r>
        <w:rPr>
          <w:sz w:val="24"/>
          <w:szCs w:val="24"/>
        </w:rPr>
        <w:t>. Финал просто ужасный. Но случайным для Быкова его назвать нельзя. И хоть притча (к этой жанровой разновидности можно отнести “Стену”) обладает многозначностью, допуская самые разные интерпретации, всё-таки можно, думается нам, утверждать, что такой финал навеян нашими “сегодняшними” (произведение было написано в 1995 году, но, как и следует ожидать от творений гениального автора, оказалось классическим: вневременным и пророческим) отнюдь не весёлыми реалиями.</w:t>
      </w:r>
    </w:p>
    <w:p w:rsidR="00B52390" w:rsidRDefault="00B52390">
      <w:pPr>
        <w:ind w:left="567" w:firstLine="851"/>
        <w:jc w:val="both"/>
        <w:rPr>
          <w:sz w:val="24"/>
          <w:szCs w:val="24"/>
        </w:rPr>
      </w:pPr>
    </w:p>
    <w:p w:rsidR="00B52390" w:rsidRDefault="00FD378B">
      <w:pPr>
        <w:pStyle w:val="2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Подводя итог исследованиям, можно сказать определённо, что перед нами писатель, творивший в духе экзистенционализма, обладатель зрелого и трезвого ума и чистого сердца. Его мироощущение самобытно и помогает нам, читателям, очиститься духовно, лучше понимать процессы, имеющие место в современном обществе.  </w:t>
      </w:r>
      <w:bookmarkStart w:id="0" w:name="_GoBack"/>
      <w:bookmarkEnd w:id="0"/>
    </w:p>
    <w:sectPr w:rsidR="00B52390">
      <w:footerReference w:type="default" r:id="rId7"/>
      <w:footerReference w:type="firs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90" w:rsidRDefault="00FD378B">
      <w:r>
        <w:separator/>
      </w:r>
    </w:p>
  </w:endnote>
  <w:endnote w:type="continuationSeparator" w:id="0">
    <w:p w:rsidR="00B52390" w:rsidRDefault="00FD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390" w:rsidRDefault="00051772">
    <w:pPr>
      <w:pStyle w:val="1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.95pt;height:11.5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B52390" w:rsidRDefault="00FD378B">
                <w:pPr>
                  <w:pStyle w:val="14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390" w:rsidRDefault="00B523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90" w:rsidRDefault="00FD378B">
      <w:r>
        <w:separator/>
      </w:r>
    </w:p>
  </w:footnote>
  <w:footnote w:type="continuationSeparator" w:id="0">
    <w:p w:rsidR="00B52390" w:rsidRDefault="00FD378B">
      <w:r>
        <w:continuationSeparator/>
      </w:r>
    </w:p>
  </w:footnote>
  <w:footnote w:id="1">
    <w:p w:rsidR="00B52390" w:rsidRDefault="00FD378B">
      <w:pPr>
        <w:pStyle w:val="15"/>
      </w:pPr>
      <w:r>
        <w:rPr>
          <w:rStyle w:val="FootnoteCharacters"/>
        </w:rPr>
        <w:footnoteRef/>
      </w:r>
      <w:r>
        <w:tab/>
        <w:t xml:space="preserve"> В Быков, «Стена». Переводы с белорусского мои (Г.Д.).</w:t>
      </w:r>
    </w:p>
  </w:footnote>
  <w:footnote w:id="2">
    <w:p w:rsidR="00B52390" w:rsidRDefault="00FD378B">
      <w:pPr>
        <w:pStyle w:val="15"/>
      </w:pPr>
      <w:r>
        <w:rPr>
          <w:rStyle w:val="FootnoteCharacters"/>
        </w:rPr>
        <w:footnoteRef/>
      </w:r>
      <w:r>
        <w:tab/>
        <w:t xml:space="preserve"> Аид – в древнегреческой мифологии бог подземного царства.</w:t>
      </w:r>
    </w:p>
  </w:footnote>
  <w:footnote w:id="3">
    <w:p w:rsidR="00B52390" w:rsidRDefault="00FD378B">
      <w:pPr>
        <w:pStyle w:val="15"/>
      </w:pPr>
      <w:r>
        <w:rPr>
          <w:rStyle w:val="FootnoteCharacters"/>
        </w:rPr>
        <w:footnoteRef/>
      </w:r>
      <w:r>
        <w:tab/>
        <w:t xml:space="preserve"> А.Камю, «Миф о Сизифе».</w:t>
      </w:r>
    </w:p>
  </w:footnote>
  <w:footnote w:id="4">
    <w:p w:rsidR="00B52390" w:rsidRDefault="00FD378B">
      <w:pPr>
        <w:pStyle w:val="15"/>
      </w:pPr>
      <w:r>
        <w:rPr>
          <w:rStyle w:val="FootnoteCharacters"/>
        </w:rPr>
        <w:footnoteRef/>
      </w:r>
      <w:r>
        <w:tab/>
        <w:t xml:space="preserve"> См. примечание 1.</w:t>
      </w:r>
    </w:p>
  </w:footnote>
  <w:footnote w:id="5">
    <w:p w:rsidR="00B52390" w:rsidRDefault="00FD378B">
      <w:pPr>
        <w:pStyle w:val="15"/>
      </w:pPr>
      <w:r>
        <w:rPr>
          <w:rStyle w:val="FootnoteCharacters"/>
        </w:rPr>
        <w:footnoteRef/>
      </w:r>
      <w:r>
        <w:tab/>
        <w:t xml:space="preserve"> Т. Бондарь, «Искушение».(перевод с белорусского языка мой – Г.Д.).</w:t>
      </w:r>
    </w:p>
  </w:footnote>
  <w:footnote w:id="6">
    <w:p w:rsidR="00B52390" w:rsidRDefault="00FD378B">
      <w:pPr>
        <w:pStyle w:val="15"/>
      </w:pPr>
      <w:r>
        <w:rPr>
          <w:rStyle w:val="FootnoteCharacters"/>
        </w:rPr>
        <w:footnoteRef/>
      </w:r>
      <w:r>
        <w:tab/>
        <w:t xml:space="preserve"> См. примечание 1</w:t>
      </w:r>
    </w:p>
  </w:footnote>
  <w:footnote w:id="7">
    <w:p w:rsidR="00B52390" w:rsidRDefault="00FD378B">
      <w:pPr>
        <w:pStyle w:val="15"/>
      </w:pPr>
      <w:r>
        <w:rPr>
          <w:rStyle w:val="FootnoteCharacters"/>
        </w:rPr>
        <w:footnoteRef/>
      </w:r>
      <w:r>
        <w:tab/>
        <w:t xml:space="preserve"> см. примечание 1.</w:t>
      </w:r>
    </w:p>
  </w:footnote>
  <w:footnote w:id="8">
    <w:p w:rsidR="00B52390" w:rsidRDefault="00FD378B">
      <w:pPr>
        <w:pStyle w:val="15"/>
      </w:pPr>
      <w:r>
        <w:rPr>
          <w:rStyle w:val="FootnoteCharacters"/>
        </w:rPr>
        <w:footnoteRef/>
      </w:r>
      <w:r>
        <w:tab/>
        <w:t xml:space="preserve"> См. примечание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RTF_Num 3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RTF_Num 4"/>
    <w:lvl w:ilvl="0">
      <w:numFmt w:val="bullet"/>
      <w:lvlText w:val=""/>
      <w:lvlJc w:val="left"/>
      <w:pPr>
        <w:tabs>
          <w:tab w:val="num" w:pos="1853"/>
        </w:tabs>
        <w:ind w:left="1853" w:hanging="435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78B"/>
    <w:rsid w:val="00051772"/>
    <w:rsid w:val="00B52390"/>
    <w:rsid w:val="00F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998118B2-C3A3-4D87-AB2F-CEF63CF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textAlignment w:val="baseline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31">
    <w:name w:val="RTF_Num 3 1"/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1">
    <w:name w:val="Основной шрифт абзаца1"/>
  </w:style>
  <w:style w:type="character" w:customStyle="1" w:styleId="10">
    <w:name w:val="Номер страницы1"/>
    <w:basedOn w:val="1"/>
  </w:style>
  <w:style w:type="character" w:customStyle="1" w:styleId="12">
    <w:name w:val="Знак сноски1"/>
    <w:basedOn w:val="1"/>
    <w:rPr>
      <w:position w:val="6"/>
      <w:sz w:val="14"/>
    </w:rPr>
  </w:style>
  <w:style w:type="character" w:customStyle="1" w:styleId="FootnoteCharacters">
    <w:name w:val="Footnote Characters"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Nimbus Sans 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1">
    <w:name w:val="Заголовок 11"/>
    <w:basedOn w:val="a"/>
    <w:next w:val="a"/>
    <w:pPr>
      <w:keepNext/>
      <w:numPr>
        <w:numId w:val="3"/>
      </w:numPr>
      <w:jc w:val="center"/>
      <w:outlineLvl w:val="0"/>
    </w:pPr>
    <w:rPr>
      <w:sz w:val="28"/>
      <w:szCs w:val="28"/>
    </w:rPr>
  </w:style>
  <w:style w:type="paragraph" w:customStyle="1" w:styleId="21">
    <w:name w:val="Заголовок 21"/>
    <w:basedOn w:val="a"/>
    <w:next w:val="a"/>
    <w:pPr>
      <w:keepNext/>
      <w:numPr>
        <w:ilvl w:val="1"/>
        <w:numId w:val="3"/>
      </w:numPr>
      <w:ind w:firstLine="1134"/>
      <w:jc w:val="center"/>
      <w:outlineLvl w:val="1"/>
    </w:pPr>
    <w:rPr>
      <w:sz w:val="24"/>
      <w:szCs w:val="24"/>
    </w:rPr>
  </w:style>
  <w:style w:type="paragraph" w:customStyle="1" w:styleId="14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15">
    <w:name w:val="Текст сноски1"/>
    <w:basedOn w:val="a"/>
  </w:style>
  <w:style w:type="paragraph" w:customStyle="1" w:styleId="210">
    <w:name w:val="Основной текст 21"/>
    <w:basedOn w:val="a"/>
    <w:pPr>
      <w:ind w:left="567" w:firstLine="851"/>
      <w:jc w:val="both"/>
    </w:pPr>
    <w:rPr>
      <w:rFonts w:ascii="Tahoma" w:eastAsia="Tahoma" w:hAnsi="Tahoma" w:cs="Tahoma"/>
    </w:rPr>
  </w:style>
  <w:style w:type="paragraph" w:styleId="a7">
    <w:name w:val="footer"/>
    <w:basedOn w:val="a"/>
    <w:semiHidden/>
    <w:pPr>
      <w:suppressLineNumbers/>
      <w:tabs>
        <w:tab w:val="center" w:pos="4986"/>
        <w:tab w:val="right" w:pos="9972"/>
      </w:tabs>
    </w:pPr>
  </w:style>
  <w:style w:type="paragraph" w:styleId="a8">
    <w:name w:val="footnote text"/>
    <w:basedOn w:val="a"/>
    <w:semiHidden/>
    <w:pPr>
      <w:suppressLineNumbers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1947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2014-04-15T18:04:00Z</dcterms:created>
  <dcterms:modified xsi:type="dcterms:W3CDTF">2014-04-15T18:04:00Z</dcterms:modified>
</cp:coreProperties>
</file>