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10" w:rsidRPr="00242D6C" w:rsidRDefault="00B23210" w:rsidP="00242D6C">
      <w:pPr>
        <w:spacing w:line="360" w:lineRule="auto"/>
        <w:ind w:firstLine="709"/>
        <w:jc w:val="both"/>
        <w:rPr>
          <w:b/>
          <w:sz w:val="28"/>
          <w:u w:val="single"/>
          <w:lang w:val="ru-RU"/>
        </w:rPr>
      </w:pPr>
      <w:r w:rsidRPr="00242D6C">
        <w:rPr>
          <w:b/>
          <w:sz w:val="28"/>
          <w:u w:val="single"/>
          <w:lang w:val="ru-RU"/>
        </w:rPr>
        <w:t>Элементы индексного анализа</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ru-RU"/>
        </w:rPr>
      </w:pPr>
      <w:r w:rsidRPr="00242D6C">
        <w:rPr>
          <w:sz w:val="28"/>
          <w:lang w:val="ru-RU"/>
        </w:rPr>
        <w:t>Индексный анализ широко используется в социологии для измерения социальных установок и бюджетов времени респондентов и групп, в социологическом анализе текстовой информации, анализе межличностных отношений и др.</w:t>
      </w:r>
    </w:p>
    <w:p w:rsidR="00B23210" w:rsidRPr="00242D6C" w:rsidRDefault="00B23210" w:rsidP="00242D6C">
      <w:pPr>
        <w:spacing w:line="360" w:lineRule="auto"/>
        <w:ind w:firstLine="709"/>
        <w:jc w:val="both"/>
        <w:rPr>
          <w:sz w:val="28"/>
          <w:lang w:val="ru-RU"/>
        </w:rPr>
      </w:pPr>
      <w:r w:rsidRPr="00242D6C">
        <w:rPr>
          <w:i/>
          <w:sz w:val="28"/>
          <w:lang w:val="ru-RU"/>
        </w:rPr>
        <w:t>Социологический индекс</w:t>
      </w:r>
      <w:r w:rsidRPr="00242D6C">
        <w:rPr>
          <w:sz w:val="28"/>
          <w:lang w:val="ru-RU"/>
        </w:rPr>
        <w:t xml:space="preserve"> – инструмент классификации, сравнения и измерения, конструируемый путем логического и аналитического комбинирования эмпирических индикаторов. Соответственно различают </w:t>
      </w:r>
      <w:r w:rsidRPr="00242D6C">
        <w:rPr>
          <w:i/>
          <w:sz w:val="28"/>
          <w:lang w:val="ru-RU"/>
        </w:rPr>
        <w:t>логические</w:t>
      </w:r>
      <w:r w:rsidRPr="00242D6C">
        <w:rPr>
          <w:sz w:val="28"/>
          <w:lang w:val="ru-RU"/>
        </w:rPr>
        <w:t xml:space="preserve"> и </w:t>
      </w:r>
      <w:r w:rsidRPr="00242D6C">
        <w:rPr>
          <w:i/>
          <w:sz w:val="28"/>
          <w:lang w:val="ru-RU"/>
        </w:rPr>
        <w:t>аналитические</w:t>
      </w:r>
      <w:r w:rsidRPr="00242D6C">
        <w:rPr>
          <w:sz w:val="28"/>
          <w:lang w:val="ru-RU"/>
        </w:rPr>
        <w:t xml:space="preserve"> индексы.</w:t>
      </w:r>
    </w:p>
    <w:p w:rsidR="00B23210" w:rsidRPr="00242D6C" w:rsidRDefault="00B23210" w:rsidP="00242D6C">
      <w:pPr>
        <w:spacing w:line="360" w:lineRule="auto"/>
        <w:ind w:firstLine="709"/>
        <w:jc w:val="both"/>
        <w:rPr>
          <w:sz w:val="28"/>
          <w:lang w:val="ru-RU"/>
        </w:rPr>
      </w:pPr>
      <w:r w:rsidRPr="00242D6C">
        <w:rPr>
          <w:sz w:val="28"/>
          <w:lang w:val="ru-RU"/>
        </w:rPr>
        <w:t>Логические индексы используются обычно для измерения скрытого (латентного) качественного признака через многомерное (и часто многосвязное) пространство эмпирических индикаторов, измеряемых по номинальным шкалам. Близкие по совокупному смыслу комбинации значений индикаторов социолог объединяет в некие типологические группы (классы) и присваивает им текстовые или цифровые обозначения, используемые затем как шкальные значения измеряемого признака. Эти значения и представляют собой логические индексы. Часто классификация логических индексов осуществляется в виде градаций порядковой шкалы (алфавитной, цифровой), но это не обязательно [Татарова, 1998, с. 63]. Построив логические индексы, социолог приступает к сбору (измерению) данных по шкалам индикаторов, а затем «отображает» эти многомерные данные в одномерную шкалу признака.</w:t>
      </w:r>
    </w:p>
    <w:p w:rsidR="00B23210" w:rsidRPr="00242D6C" w:rsidRDefault="00B23210" w:rsidP="00242D6C">
      <w:pPr>
        <w:spacing w:line="360" w:lineRule="auto"/>
        <w:ind w:firstLine="709"/>
        <w:jc w:val="both"/>
        <w:rPr>
          <w:sz w:val="28"/>
          <w:lang w:val="ru-RU"/>
        </w:rPr>
      </w:pPr>
      <w:r w:rsidRPr="00242D6C">
        <w:rPr>
          <w:sz w:val="28"/>
          <w:lang w:val="ru-RU"/>
        </w:rPr>
        <w:t>Пусть скрытый исследуемый признак – степень близости социально-политических ценностей и предпочтений жителей региона западным странам демократии. Эмпирические индикаторы: «Свобода», «Социально-экономические права», «Государство и право», «Обязанности гражданина», «Личность и общество», «Путь развития для России» и т.д. – всего 13 индикаторов</w:t>
      </w:r>
      <w:r w:rsidRPr="00242D6C">
        <w:rPr>
          <w:sz w:val="28"/>
          <w:vertAlign w:val="superscript"/>
          <w:lang w:val="ru-RU"/>
        </w:rPr>
        <w:t>1</w:t>
      </w:r>
      <w:r w:rsidRPr="00242D6C">
        <w:rPr>
          <w:sz w:val="28"/>
          <w:lang w:val="ru-RU"/>
        </w:rPr>
        <w:t xml:space="preserve">. Каждому индикатору соответствует своя номинальная шкала, содержащая от 3 до 25 шкальных значений. На основе целенаправленного комбинирования шкальных значений различных индикаторов социолог-иследователь формирует типологические группы – классы, соответствующие градациям исследуемого признака, которым, в свою очередь, ставится в соответствии система логических индексов, собранных в порядковую шкалу. Так, логическому индексу «А» (или «1») ставится в соответствие шкальное значение «высокая степень близости». Этому шкальному значению соответствует класс, включающий 7 комбинаций шкальных значений упомянутых выше индикаторов. Одна из комбинаций такова: свобода получения информации, неприкосновенность честной собственности, равенство всех граждан перед законом, межнациональная терпимость, абсолютная ценность человеческой личности и равенство всех людей от рождения, парламентская республика и т.д. Очевидно, что социологу предстоит большая подготовительная работа по созданию непересекающихся классов подобного типа и шкалированию признака. </w:t>
      </w:r>
    </w:p>
    <w:p w:rsidR="00B23210" w:rsidRPr="00242D6C" w:rsidRDefault="00B23210" w:rsidP="00242D6C">
      <w:pPr>
        <w:spacing w:line="360" w:lineRule="auto"/>
        <w:ind w:firstLine="709"/>
        <w:jc w:val="both"/>
        <w:rPr>
          <w:sz w:val="28"/>
          <w:lang w:val="ru-RU"/>
        </w:rPr>
      </w:pPr>
      <w:r w:rsidRPr="00242D6C">
        <w:rPr>
          <w:sz w:val="28"/>
          <w:lang w:val="ru-RU"/>
        </w:rPr>
        <w:t>В целом корректное выполнение такой работы требует ответа на следующие вопросы [Толстова, 1998, с. 107-109]:</w:t>
      </w:r>
    </w:p>
    <w:p w:rsidR="00B23210" w:rsidRPr="00242D6C" w:rsidRDefault="00B23210" w:rsidP="00242D6C">
      <w:pPr>
        <w:numPr>
          <w:ilvl w:val="0"/>
          <w:numId w:val="9"/>
        </w:numPr>
        <w:spacing w:line="360" w:lineRule="auto"/>
        <w:ind w:left="0" w:firstLine="709"/>
        <w:jc w:val="both"/>
        <w:rPr>
          <w:sz w:val="28"/>
          <w:lang w:val="ru-RU"/>
        </w:rPr>
      </w:pPr>
      <w:r w:rsidRPr="00242D6C">
        <w:rPr>
          <w:sz w:val="28"/>
          <w:lang w:val="ru-RU"/>
        </w:rPr>
        <w:t>существует ли одномерный признак (переменная), который мы собираемся измерить с помощью логического индекса (т.е. существует ли нечто, что может отвечать словосочетанию «близость социально-политических ценностей и предпочтений западным стандартам», и одномерно ли это нечто, если оно существует);</w:t>
      </w:r>
    </w:p>
    <w:p w:rsidR="00B23210" w:rsidRPr="00242D6C" w:rsidRDefault="00B23210" w:rsidP="00242D6C">
      <w:pPr>
        <w:numPr>
          <w:ilvl w:val="0"/>
          <w:numId w:val="9"/>
        </w:numPr>
        <w:spacing w:line="360" w:lineRule="auto"/>
        <w:ind w:left="0" w:firstLine="709"/>
        <w:jc w:val="both"/>
        <w:rPr>
          <w:sz w:val="28"/>
          <w:lang w:val="ru-RU"/>
        </w:rPr>
      </w:pPr>
      <w:r w:rsidRPr="00242D6C">
        <w:rPr>
          <w:sz w:val="28"/>
          <w:lang w:val="ru-RU"/>
        </w:rPr>
        <w:t>удачен ли выбор эмпирических индикаторов для формирования логического индекса (т.е. действительно ли связаны выбранные индикаторы с латентным признаком);</w:t>
      </w:r>
    </w:p>
    <w:p w:rsidR="00B23210" w:rsidRPr="00242D6C" w:rsidRDefault="00B23210" w:rsidP="00242D6C">
      <w:pPr>
        <w:numPr>
          <w:ilvl w:val="0"/>
          <w:numId w:val="9"/>
        </w:numPr>
        <w:spacing w:line="360" w:lineRule="auto"/>
        <w:ind w:left="0" w:firstLine="709"/>
        <w:jc w:val="both"/>
        <w:rPr>
          <w:sz w:val="28"/>
          <w:lang w:val="ru-RU"/>
        </w:rPr>
      </w:pPr>
      <w:r w:rsidRPr="00242D6C">
        <w:rPr>
          <w:sz w:val="28"/>
          <w:lang w:val="ru-RU"/>
        </w:rPr>
        <w:t>адекватна ли используемая форма выражения скрытого признака через эмпирические индикаторы (т.е. корректно ли произведено отображение комбинаций шкальных значений 13 индикаторов нашей анкеты в шкальные значения измеряемого признака);</w:t>
      </w:r>
    </w:p>
    <w:p w:rsidR="00B23210" w:rsidRPr="00242D6C" w:rsidRDefault="00B23210" w:rsidP="00242D6C">
      <w:pPr>
        <w:numPr>
          <w:ilvl w:val="0"/>
          <w:numId w:val="9"/>
        </w:numPr>
        <w:spacing w:line="360" w:lineRule="auto"/>
        <w:ind w:left="0" w:firstLine="709"/>
        <w:jc w:val="both"/>
        <w:rPr>
          <w:sz w:val="28"/>
          <w:lang w:val="ru-RU"/>
        </w:rPr>
      </w:pPr>
      <w:r w:rsidRPr="00242D6C">
        <w:rPr>
          <w:sz w:val="28"/>
          <w:lang w:val="ru-RU"/>
        </w:rPr>
        <w:t>к какому типу относится шкала признака, соответствующая построенному логическому индексу (номинальному, порядковому, частично упорядоченному).</w:t>
      </w:r>
    </w:p>
    <w:p w:rsidR="00B23210" w:rsidRPr="00242D6C" w:rsidRDefault="00B23210" w:rsidP="00242D6C">
      <w:pPr>
        <w:spacing w:line="360" w:lineRule="auto"/>
        <w:ind w:firstLine="709"/>
        <w:jc w:val="both"/>
        <w:rPr>
          <w:sz w:val="28"/>
          <w:lang w:val="ru-RU"/>
        </w:rPr>
      </w:pPr>
      <w:r w:rsidRPr="00242D6C">
        <w:rPr>
          <w:sz w:val="28"/>
          <w:lang w:val="ru-RU"/>
        </w:rPr>
        <w:t>Более детальное рассмотрение проблем и методов использования логических индексов в социологии см. в [Татарова, 1998; Толстова, 1998].</w:t>
      </w:r>
    </w:p>
    <w:p w:rsidR="00B23210" w:rsidRPr="00242D6C" w:rsidRDefault="00B23210" w:rsidP="00242D6C">
      <w:pPr>
        <w:spacing w:line="360" w:lineRule="auto"/>
        <w:ind w:firstLine="709"/>
        <w:jc w:val="both"/>
        <w:rPr>
          <w:sz w:val="28"/>
          <w:lang w:val="ru-RU"/>
        </w:rPr>
      </w:pPr>
      <w:r w:rsidRPr="00242D6C">
        <w:rPr>
          <w:i/>
          <w:sz w:val="28"/>
          <w:lang w:val="ru-RU"/>
        </w:rPr>
        <w:t>Компьютерная обработка</w:t>
      </w:r>
      <w:r w:rsidRPr="00242D6C">
        <w:rPr>
          <w:sz w:val="28"/>
          <w:lang w:val="ru-RU"/>
        </w:rPr>
        <w:t xml:space="preserve"> данных по каждому респонденту сводится к реализации алгоритма классификации, на входе которого – вектор выбранных респондентом шкальных значений индикаторов, на выходе алгоритма – соответствующий логический индекс. Для реализации алгоритма, формально представляющего собой «развилку» с множественными вложенными ветвями, предлагается набор логических функций </w:t>
      </w:r>
      <w:r w:rsidRPr="00242D6C">
        <w:rPr>
          <w:sz w:val="28"/>
          <w:lang w:val="en-US"/>
        </w:rPr>
        <w:t>Excel</w:t>
      </w:r>
      <w:r w:rsidRPr="00242D6C">
        <w:rPr>
          <w:sz w:val="28"/>
          <w:lang w:val="ru-RU"/>
        </w:rPr>
        <w:t xml:space="preserve"> ЕСЛИ, И, ИЛИ, НЕ.</w:t>
      </w:r>
    </w:p>
    <w:p w:rsidR="00B23210" w:rsidRPr="00242D6C" w:rsidRDefault="00B23210" w:rsidP="00242D6C">
      <w:pPr>
        <w:spacing w:line="360" w:lineRule="auto"/>
        <w:ind w:firstLine="709"/>
        <w:jc w:val="both"/>
        <w:rPr>
          <w:sz w:val="28"/>
          <w:lang w:val="en-US"/>
        </w:rPr>
      </w:pPr>
      <w:r w:rsidRPr="00242D6C">
        <w:rPr>
          <w:sz w:val="28"/>
          <w:lang w:val="ru-RU"/>
        </w:rPr>
        <w:t>Аналитические индексы образуются из индикаторов посредством математических операций. Ценность аналитических индексов не столько в их  значениях, сколько в возможности использования этих значений для сравнительного анализа.</w:t>
      </w:r>
    </w:p>
    <w:p w:rsidR="00B23210" w:rsidRPr="00242D6C" w:rsidRDefault="00B23210" w:rsidP="00242D6C">
      <w:pPr>
        <w:spacing w:line="360" w:lineRule="auto"/>
        <w:ind w:firstLine="709"/>
        <w:jc w:val="both"/>
        <w:rPr>
          <w:sz w:val="28"/>
          <w:lang w:val="ru-RU"/>
        </w:rPr>
      </w:pPr>
      <w:r w:rsidRPr="00242D6C">
        <w:rPr>
          <w:sz w:val="28"/>
          <w:lang w:val="ru-RU"/>
        </w:rPr>
        <w:t xml:space="preserve">Ниже приводятся примеры использования аналитических индексов в социометрическом и психосоматическом исследованиях. </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i/>
          <w:sz w:val="28"/>
          <w:lang w:val="ru-RU"/>
        </w:rPr>
      </w:pPr>
      <w:r w:rsidRPr="00242D6C">
        <w:rPr>
          <w:i/>
          <w:sz w:val="28"/>
          <w:lang w:val="ru-RU"/>
        </w:rPr>
        <w:t>Аналитические индексы в социометрическом исследовании</w:t>
      </w:r>
    </w:p>
    <w:p w:rsidR="00B23210" w:rsidRPr="00242D6C" w:rsidRDefault="00B23210" w:rsidP="00242D6C">
      <w:pPr>
        <w:spacing w:line="360" w:lineRule="auto"/>
        <w:ind w:firstLine="709"/>
        <w:jc w:val="both"/>
        <w:rPr>
          <w:sz w:val="28"/>
          <w:szCs w:val="22"/>
          <w:lang w:val="ru-RU"/>
        </w:rPr>
      </w:pPr>
      <w:r w:rsidRPr="00242D6C">
        <w:rPr>
          <w:sz w:val="28"/>
          <w:szCs w:val="22"/>
          <w:lang w:val="ru-RU"/>
        </w:rPr>
        <w:t>Мы выбираем, нас выбирают…</w:t>
      </w:r>
    </w:p>
    <w:p w:rsidR="00B23210" w:rsidRPr="00242D6C" w:rsidRDefault="00B23210" w:rsidP="00242D6C">
      <w:pPr>
        <w:spacing w:line="360" w:lineRule="auto"/>
        <w:ind w:firstLine="709"/>
        <w:jc w:val="both"/>
        <w:rPr>
          <w:sz w:val="28"/>
          <w:szCs w:val="22"/>
          <w:lang w:val="ru-RU"/>
        </w:rPr>
      </w:pPr>
      <w:r w:rsidRPr="00242D6C">
        <w:rPr>
          <w:sz w:val="28"/>
          <w:szCs w:val="22"/>
          <w:lang w:val="ru-RU"/>
        </w:rPr>
        <w:t>Как это часто не совпадает…</w:t>
      </w:r>
    </w:p>
    <w:p w:rsidR="00B23210" w:rsidRPr="00242D6C" w:rsidRDefault="00B23210" w:rsidP="00242D6C">
      <w:pPr>
        <w:spacing w:line="360" w:lineRule="auto"/>
        <w:ind w:firstLine="709"/>
        <w:jc w:val="both"/>
        <w:rPr>
          <w:i/>
          <w:sz w:val="28"/>
          <w:szCs w:val="22"/>
          <w:lang w:val="ru-RU"/>
        </w:rPr>
      </w:pPr>
      <w:r w:rsidRPr="00242D6C">
        <w:rPr>
          <w:i/>
          <w:sz w:val="28"/>
          <w:szCs w:val="22"/>
          <w:lang w:val="ru-RU"/>
        </w:rPr>
        <w:t>(Песня из к/ф «Большая перемена»)</w:t>
      </w:r>
    </w:p>
    <w:p w:rsidR="00B23210" w:rsidRPr="00242D6C" w:rsidRDefault="00B23210" w:rsidP="00242D6C">
      <w:pPr>
        <w:spacing w:line="360" w:lineRule="auto"/>
        <w:ind w:firstLine="709"/>
        <w:jc w:val="both"/>
        <w:rPr>
          <w:sz w:val="28"/>
          <w:lang w:val="ru-RU"/>
        </w:rPr>
      </w:pPr>
      <w:r w:rsidRPr="00242D6C">
        <w:rPr>
          <w:sz w:val="28"/>
          <w:lang w:val="ru-RU"/>
        </w:rPr>
        <w:t>Количественная обработка исходных социоматриц должна помочь в выявлении лидеров групп, формировании работоспособных экипажей, вахт, бригад, расчетов и других относительно малых коллективов, в оценке их психологического «микроклимата».</w:t>
      </w:r>
    </w:p>
    <w:p w:rsidR="00B23210" w:rsidRPr="00242D6C" w:rsidRDefault="00242D6C" w:rsidP="00242D6C">
      <w:pPr>
        <w:spacing w:line="360" w:lineRule="auto"/>
        <w:ind w:firstLine="709"/>
        <w:jc w:val="both"/>
        <w:rPr>
          <w:sz w:val="28"/>
          <w:u w:val="single"/>
          <w:lang w:val="ru-RU"/>
        </w:rPr>
      </w:pPr>
      <w:r>
        <w:rPr>
          <w:sz w:val="28"/>
          <w:u w:val="single"/>
          <w:lang w:val="ru-RU"/>
        </w:rPr>
        <w:br w:type="page"/>
      </w:r>
      <w:r w:rsidR="00B23210" w:rsidRPr="00242D6C">
        <w:rPr>
          <w:sz w:val="28"/>
          <w:u w:val="single"/>
          <w:lang w:val="ru-RU"/>
        </w:rPr>
        <w:t xml:space="preserve">Пример. </w:t>
      </w:r>
    </w:p>
    <w:tbl>
      <w:tblPr>
        <w:tblW w:w="9915" w:type="dxa"/>
        <w:tblInd w:w="93" w:type="dxa"/>
        <w:tblLook w:val="0000" w:firstRow="0" w:lastRow="0" w:firstColumn="0" w:lastColumn="0" w:noHBand="0" w:noVBand="0"/>
      </w:tblPr>
      <w:tblGrid>
        <w:gridCol w:w="1480"/>
        <w:gridCol w:w="960"/>
        <w:gridCol w:w="960"/>
        <w:gridCol w:w="960"/>
        <w:gridCol w:w="960"/>
        <w:gridCol w:w="960"/>
        <w:gridCol w:w="960"/>
        <w:gridCol w:w="875"/>
        <w:gridCol w:w="880"/>
        <w:gridCol w:w="920"/>
      </w:tblGrid>
      <w:tr w:rsidR="00B23210" w:rsidRPr="00242D6C">
        <w:trPr>
          <w:cantSplit/>
          <w:trHeight w:val="332"/>
        </w:trPr>
        <w:tc>
          <w:tcPr>
            <w:tcW w:w="1480" w:type="dxa"/>
            <w:vMerge w:val="restart"/>
            <w:tcBorders>
              <w:top w:val="single" w:sz="8" w:space="0" w:color="auto"/>
              <w:left w:val="single" w:sz="8" w:space="0" w:color="auto"/>
              <w:bottom w:val="single" w:sz="8" w:space="0" w:color="000000"/>
              <w:right w:val="single" w:sz="8" w:space="0" w:color="auto"/>
            </w:tcBorders>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Кто выбирает</w:t>
            </w:r>
          </w:p>
        </w:tc>
        <w:tc>
          <w:tcPr>
            <w:tcW w:w="5760" w:type="dxa"/>
            <w:gridSpan w:val="6"/>
            <w:tcBorders>
              <w:top w:val="single" w:sz="8" w:space="0" w:color="auto"/>
              <w:left w:val="nil"/>
              <w:bottom w:val="single" w:sz="4" w:space="0" w:color="auto"/>
              <w:right w:val="single" w:sz="8" w:space="0" w:color="000000"/>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Кого выбирают</w:t>
            </w:r>
          </w:p>
        </w:tc>
        <w:tc>
          <w:tcPr>
            <w:tcW w:w="2675" w:type="dxa"/>
            <w:gridSpan w:val="3"/>
            <w:tcBorders>
              <w:top w:val="single" w:sz="8" w:space="0" w:color="auto"/>
              <w:left w:val="nil"/>
              <w:bottom w:val="single" w:sz="4" w:space="0" w:color="auto"/>
              <w:right w:val="single" w:sz="8" w:space="0" w:color="000000"/>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Всего</w:t>
            </w:r>
          </w:p>
        </w:tc>
      </w:tr>
      <w:tr w:rsidR="00B23210" w:rsidRPr="00242D6C">
        <w:trPr>
          <w:cantSplit/>
          <w:trHeight w:val="172"/>
        </w:trPr>
        <w:tc>
          <w:tcPr>
            <w:tcW w:w="1480" w:type="dxa"/>
            <w:vMerge/>
            <w:tcBorders>
              <w:top w:val="single" w:sz="8" w:space="0" w:color="auto"/>
              <w:left w:val="single" w:sz="8" w:space="0" w:color="auto"/>
              <w:bottom w:val="single" w:sz="8" w:space="0" w:color="000000"/>
              <w:right w:val="single" w:sz="8" w:space="0" w:color="auto"/>
            </w:tcBorders>
            <w:vAlign w:val="center"/>
          </w:tcPr>
          <w:p w:rsidR="00B23210" w:rsidRPr="00242D6C" w:rsidRDefault="00B23210" w:rsidP="00242D6C">
            <w:pPr>
              <w:spacing w:line="360" w:lineRule="auto"/>
              <w:rPr>
                <w:rFonts w:ascii="Arial CYR" w:hAnsi="Arial CYR" w:cs="Arial CYR"/>
                <w:sz w:val="20"/>
                <w:szCs w:val="20"/>
              </w:rPr>
            </w:pPr>
          </w:p>
        </w:tc>
        <w:tc>
          <w:tcPr>
            <w:tcW w:w="960" w:type="dxa"/>
            <w:tcBorders>
              <w:top w:val="nil"/>
              <w:left w:val="nil"/>
              <w:bottom w:val="nil"/>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1</w:t>
            </w:r>
          </w:p>
        </w:tc>
        <w:tc>
          <w:tcPr>
            <w:tcW w:w="960" w:type="dxa"/>
            <w:tcBorders>
              <w:top w:val="nil"/>
              <w:left w:val="single" w:sz="4" w:space="0" w:color="auto"/>
              <w:bottom w:val="nil"/>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2</w:t>
            </w:r>
          </w:p>
        </w:tc>
        <w:tc>
          <w:tcPr>
            <w:tcW w:w="960" w:type="dxa"/>
            <w:tcBorders>
              <w:top w:val="nil"/>
              <w:left w:val="nil"/>
              <w:bottom w:val="nil"/>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3</w:t>
            </w:r>
          </w:p>
        </w:tc>
        <w:tc>
          <w:tcPr>
            <w:tcW w:w="960" w:type="dxa"/>
            <w:tcBorders>
              <w:top w:val="nil"/>
              <w:left w:val="nil"/>
              <w:bottom w:val="nil"/>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4</w:t>
            </w:r>
          </w:p>
        </w:tc>
        <w:tc>
          <w:tcPr>
            <w:tcW w:w="960" w:type="dxa"/>
            <w:tcBorders>
              <w:top w:val="nil"/>
              <w:left w:val="nil"/>
              <w:bottom w:val="nil"/>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5</w:t>
            </w:r>
          </w:p>
        </w:tc>
        <w:tc>
          <w:tcPr>
            <w:tcW w:w="960" w:type="dxa"/>
            <w:tcBorders>
              <w:top w:val="nil"/>
              <w:left w:val="nil"/>
              <w:bottom w:val="nil"/>
              <w:right w:val="single" w:sz="8" w:space="0" w:color="auto"/>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6</w:t>
            </w:r>
          </w:p>
        </w:tc>
        <w:tc>
          <w:tcPr>
            <w:tcW w:w="875"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rFonts w:ascii="Arial CYR" w:hAnsi="Arial CYR" w:cs="Arial CYR"/>
                <w:sz w:val="20"/>
                <w:szCs w:val="20"/>
                <w:lang w:val="ru-RU"/>
              </w:rPr>
              <w:t>+</w:t>
            </w:r>
          </w:p>
        </w:tc>
        <w:tc>
          <w:tcPr>
            <w:tcW w:w="88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rFonts w:ascii="Arial CYR" w:hAnsi="Arial CYR" w:cs="Arial CYR"/>
                <w:sz w:val="20"/>
                <w:szCs w:val="20"/>
                <w:lang w:val="ru-RU"/>
              </w:rPr>
              <w:t xml:space="preserve">– </w:t>
            </w:r>
          </w:p>
        </w:tc>
        <w:tc>
          <w:tcPr>
            <w:tcW w:w="920" w:type="dxa"/>
            <w:tcBorders>
              <w:top w:val="nil"/>
              <w:left w:val="nil"/>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sz w:val="20"/>
                <w:szCs w:val="20"/>
                <w:lang w:val="ru-RU"/>
              </w:rPr>
              <w:t>±</w:t>
            </w:r>
          </w:p>
        </w:tc>
      </w:tr>
      <w:tr w:rsidR="00B23210" w:rsidRPr="00242D6C">
        <w:trPr>
          <w:trHeight w:val="375"/>
        </w:trPr>
        <w:tc>
          <w:tcPr>
            <w:tcW w:w="1480" w:type="dxa"/>
            <w:tcBorders>
              <w:top w:val="nil"/>
              <w:left w:val="single" w:sz="4" w:space="0" w:color="auto"/>
              <w:bottom w:val="single" w:sz="4" w:space="0" w:color="auto"/>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1</w:t>
            </w:r>
          </w:p>
        </w:tc>
        <w:tc>
          <w:tcPr>
            <w:tcW w:w="960" w:type="dxa"/>
            <w:tcBorders>
              <w:top w:val="single" w:sz="8" w:space="0" w:color="auto"/>
              <w:left w:val="single" w:sz="8" w:space="0" w:color="auto"/>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960" w:type="dxa"/>
            <w:tcBorders>
              <w:top w:val="single" w:sz="8" w:space="0" w:color="auto"/>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single" w:sz="8" w:space="0" w:color="auto"/>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single" w:sz="8" w:space="0" w:color="auto"/>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single" w:sz="8" w:space="0" w:color="auto"/>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single" w:sz="8" w:space="0" w:color="auto"/>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88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92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4</w:t>
            </w:r>
          </w:p>
        </w:tc>
      </w:tr>
      <w:tr w:rsidR="00B23210" w:rsidRPr="00242D6C">
        <w:trPr>
          <w:trHeight w:val="375"/>
        </w:trPr>
        <w:tc>
          <w:tcPr>
            <w:tcW w:w="1480" w:type="dxa"/>
            <w:tcBorders>
              <w:top w:val="nil"/>
              <w:left w:val="single" w:sz="4" w:space="0" w:color="auto"/>
              <w:bottom w:val="single" w:sz="4" w:space="0" w:color="auto"/>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2</w:t>
            </w:r>
          </w:p>
        </w:tc>
        <w:tc>
          <w:tcPr>
            <w:tcW w:w="960"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88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2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r>
      <w:tr w:rsidR="00B23210" w:rsidRPr="00242D6C">
        <w:trPr>
          <w:trHeight w:val="375"/>
        </w:trPr>
        <w:tc>
          <w:tcPr>
            <w:tcW w:w="1480" w:type="dxa"/>
            <w:tcBorders>
              <w:top w:val="nil"/>
              <w:left w:val="single" w:sz="4" w:space="0" w:color="auto"/>
              <w:bottom w:val="single" w:sz="4" w:space="0" w:color="auto"/>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3</w:t>
            </w:r>
          </w:p>
        </w:tc>
        <w:tc>
          <w:tcPr>
            <w:tcW w:w="960"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88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2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4</w:t>
            </w:r>
          </w:p>
        </w:tc>
      </w:tr>
      <w:tr w:rsidR="00B23210" w:rsidRPr="00242D6C">
        <w:trPr>
          <w:trHeight w:val="375"/>
        </w:trPr>
        <w:tc>
          <w:tcPr>
            <w:tcW w:w="1480" w:type="dxa"/>
            <w:tcBorders>
              <w:top w:val="nil"/>
              <w:left w:val="single" w:sz="4" w:space="0" w:color="auto"/>
              <w:bottom w:val="single" w:sz="4" w:space="0" w:color="auto"/>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4</w:t>
            </w:r>
          </w:p>
        </w:tc>
        <w:tc>
          <w:tcPr>
            <w:tcW w:w="960"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88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2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r>
      <w:tr w:rsidR="00B23210" w:rsidRPr="00242D6C">
        <w:trPr>
          <w:trHeight w:val="375"/>
        </w:trPr>
        <w:tc>
          <w:tcPr>
            <w:tcW w:w="1480" w:type="dxa"/>
            <w:tcBorders>
              <w:top w:val="nil"/>
              <w:left w:val="single" w:sz="4" w:space="0" w:color="auto"/>
              <w:bottom w:val="single" w:sz="4" w:space="0" w:color="auto"/>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5</w:t>
            </w:r>
          </w:p>
        </w:tc>
        <w:tc>
          <w:tcPr>
            <w:tcW w:w="960"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sz w:val="20"/>
                <w:szCs w:val="20"/>
              </w:rPr>
            </w:pPr>
            <w:r w:rsidRPr="00242D6C">
              <w:rPr>
                <w:sz w:val="20"/>
                <w:szCs w:val="20"/>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88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2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r>
      <w:tr w:rsidR="00B23210" w:rsidRPr="00242D6C">
        <w:trPr>
          <w:trHeight w:val="390"/>
        </w:trPr>
        <w:tc>
          <w:tcPr>
            <w:tcW w:w="1480" w:type="dxa"/>
            <w:tcBorders>
              <w:top w:val="nil"/>
              <w:left w:val="single" w:sz="4" w:space="0" w:color="auto"/>
              <w:bottom w:val="nil"/>
              <w:right w:val="nil"/>
            </w:tcBorders>
            <w:noWrap/>
            <w:vAlign w:val="bottom"/>
          </w:tcPr>
          <w:p w:rsidR="00B23210" w:rsidRPr="00242D6C" w:rsidRDefault="00B23210" w:rsidP="00242D6C">
            <w:pPr>
              <w:spacing w:line="360" w:lineRule="auto"/>
              <w:rPr>
                <w:sz w:val="20"/>
                <w:szCs w:val="20"/>
              </w:rPr>
            </w:pPr>
            <w:r w:rsidRPr="00242D6C">
              <w:rPr>
                <w:sz w:val="20"/>
                <w:szCs w:val="20"/>
              </w:rPr>
              <w:t>X</w:t>
            </w:r>
            <w:r w:rsidRPr="00242D6C">
              <w:rPr>
                <w:sz w:val="20"/>
                <w:szCs w:val="20"/>
                <w:vertAlign w:val="subscript"/>
              </w:rPr>
              <w:t>6</w:t>
            </w:r>
          </w:p>
        </w:tc>
        <w:tc>
          <w:tcPr>
            <w:tcW w:w="960" w:type="dxa"/>
            <w:tcBorders>
              <w:top w:val="nil"/>
              <w:left w:val="single" w:sz="8" w:space="0" w:color="auto"/>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60" w:type="dxa"/>
            <w:tcBorders>
              <w:top w:val="nil"/>
              <w:left w:val="nil"/>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w:t>
            </w:r>
          </w:p>
        </w:tc>
        <w:tc>
          <w:tcPr>
            <w:tcW w:w="875"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88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920" w:type="dxa"/>
            <w:tcBorders>
              <w:top w:val="nil"/>
              <w:left w:val="nil"/>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r>
      <w:tr w:rsidR="00B23210" w:rsidRPr="00242D6C">
        <w:trPr>
          <w:trHeight w:val="350"/>
        </w:trPr>
        <w:tc>
          <w:tcPr>
            <w:tcW w:w="1480" w:type="dxa"/>
            <w:tcBorders>
              <w:top w:val="single" w:sz="8" w:space="0" w:color="auto"/>
              <w:left w:val="single" w:sz="8" w:space="0" w:color="auto"/>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rFonts w:ascii="Arial CYR" w:hAnsi="Arial CYR" w:cs="Arial CYR"/>
                <w:sz w:val="20"/>
                <w:szCs w:val="20"/>
                <w:lang w:val="ru-RU"/>
              </w:rPr>
              <w:t>+</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875" w:type="dxa"/>
            <w:tcBorders>
              <w:top w:val="nil"/>
              <w:left w:val="nil"/>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10</w:t>
            </w:r>
          </w:p>
        </w:tc>
        <w:tc>
          <w:tcPr>
            <w:tcW w:w="880" w:type="dxa"/>
            <w:tcBorders>
              <w:top w:val="nil"/>
              <w:left w:val="nil"/>
              <w:bottom w:val="nil"/>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2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r>
      <w:tr w:rsidR="00B23210" w:rsidRPr="00242D6C">
        <w:trPr>
          <w:trHeight w:val="330"/>
        </w:trPr>
        <w:tc>
          <w:tcPr>
            <w:tcW w:w="1480" w:type="dxa"/>
            <w:tcBorders>
              <w:top w:val="nil"/>
              <w:left w:val="single" w:sz="8" w:space="0" w:color="auto"/>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rFonts w:ascii="Arial CYR" w:hAnsi="Arial CYR" w:cs="Arial CYR"/>
                <w:sz w:val="20"/>
                <w:szCs w:val="20"/>
                <w:lang w:val="ru-RU"/>
              </w:rPr>
              <w:t xml:space="preserve">– </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875" w:type="dxa"/>
            <w:tcBorders>
              <w:top w:val="nil"/>
              <w:left w:val="nil"/>
              <w:bottom w:val="single" w:sz="4" w:space="0" w:color="auto"/>
              <w:right w:val="nil"/>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80" w:type="dxa"/>
            <w:tcBorders>
              <w:top w:val="single" w:sz="8" w:space="0" w:color="auto"/>
              <w:left w:val="single" w:sz="8" w:space="0" w:color="auto"/>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6</w:t>
            </w:r>
          </w:p>
        </w:tc>
        <w:tc>
          <w:tcPr>
            <w:tcW w:w="920" w:type="dxa"/>
            <w:tcBorders>
              <w:top w:val="nil"/>
              <w:left w:val="nil"/>
              <w:bottom w:val="nil"/>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r>
      <w:tr w:rsidR="00B23210" w:rsidRPr="00242D6C">
        <w:trPr>
          <w:trHeight w:val="339"/>
        </w:trPr>
        <w:tc>
          <w:tcPr>
            <w:tcW w:w="1480" w:type="dxa"/>
            <w:tcBorders>
              <w:top w:val="nil"/>
              <w:left w:val="single" w:sz="8" w:space="0" w:color="auto"/>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lang w:val="ru-RU"/>
              </w:rPr>
            </w:pPr>
            <w:r w:rsidRPr="00242D6C">
              <w:rPr>
                <w:sz w:val="20"/>
                <w:szCs w:val="20"/>
                <w:lang w:val="ru-RU"/>
              </w:rPr>
              <w:t>±</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3</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2</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4</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4</w:t>
            </w:r>
          </w:p>
        </w:tc>
        <w:tc>
          <w:tcPr>
            <w:tcW w:w="960" w:type="dxa"/>
            <w:tcBorders>
              <w:top w:val="nil"/>
              <w:left w:val="nil"/>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0</w:t>
            </w:r>
          </w:p>
        </w:tc>
        <w:tc>
          <w:tcPr>
            <w:tcW w:w="875" w:type="dxa"/>
            <w:tcBorders>
              <w:top w:val="nil"/>
              <w:left w:val="nil"/>
              <w:bottom w:val="single" w:sz="4" w:space="0" w:color="auto"/>
              <w:right w:val="single" w:sz="4"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880" w:type="dxa"/>
            <w:tcBorders>
              <w:top w:val="nil"/>
              <w:left w:val="nil"/>
              <w:bottom w:val="single" w:sz="4" w:space="0" w:color="auto"/>
              <w:right w:val="nil"/>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 </w:t>
            </w:r>
          </w:p>
        </w:tc>
        <w:tc>
          <w:tcPr>
            <w:tcW w:w="920" w:type="dxa"/>
            <w:tcBorders>
              <w:top w:val="single" w:sz="8" w:space="0" w:color="auto"/>
              <w:left w:val="single" w:sz="8" w:space="0" w:color="auto"/>
              <w:bottom w:val="single" w:sz="8" w:space="0" w:color="auto"/>
              <w:right w:val="single" w:sz="8" w:space="0" w:color="auto"/>
            </w:tcBorders>
            <w:noWrap/>
            <w:vAlign w:val="bottom"/>
          </w:tcPr>
          <w:p w:rsidR="00B23210" w:rsidRPr="00242D6C" w:rsidRDefault="00B23210" w:rsidP="00242D6C">
            <w:pPr>
              <w:spacing w:line="360" w:lineRule="auto"/>
              <w:rPr>
                <w:rFonts w:ascii="Arial CYR" w:hAnsi="Arial CYR" w:cs="Arial CYR"/>
                <w:sz w:val="20"/>
                <w:szCs w:val="20"/>
              </w:rPr>
            </w:pPr>
            <w:r w:rsidRPr="00242D6C">
              <w:rPr>
                <w:rFonts w:ascii="Arial CYR" w:hAnsi="Arial CYR" w:cs="Arial CYR"/>
                <w:sz w:val="20"/>
                <w:szCs w:val="20"/>
              </w:rPr>
              <w:t>16</w:t>
            </w:r>
          </w:p>
        </w:tc>
      </w:tr>
    </w:tbl>
    <w:p w:rsidR="00B23210" w:rsidRPr="00242D6C" w:rsidRDefault="00B23210" w:rsidP="00242D6C">
      <w:pPr>
        <w:spacing w:line="360" w:lineRule="auto"/>
        <w:ind w:firstLine="709"/>
        <w:jc w:val="both"/>
        <w:rPr>
          <w:sz w:val="28"/>
          <w:u w:val="single"/>
          <w:lang w:val="ru-RU"/>
        </w:rPr>
      </w:pPr>
    </w:p>
    <w:p w:rsidR="00B23210" w:rsidRPr="00242D6C" w:rsidRDefault="00B23210" w:rsidP="00242D6C">
      <w:pPr>
        <w:spacing w:line="360" w:lineRule="auto"/>
        <w:ind w:firstLine="709"/>
        <w:jc w:val="both"/>
        <w:rPr>
          <w:sz w:val="28"/>
          <w:lang w:val="ru-RU"/>
        </w:rPr>
      </w:pPr>
      <w:r w:rsidRPr="00242D6C">
        <w:rPr>
          <w:sz w:val="28"/>
          <w:lang w:val="ru-RU"/>
        </w:rPr>
        <w:t xml:space="preserve">Результаты предварительной обработки по столбцам позволяют оценить </w:t>
      </w:r>
      <w:r w:rsidRPr="00242D6C">
        <w:rPr>
          <w:i/>
          <w:iCs/>
          <w:sz w:val="28"/>
          <w:lang w:val="ru-RU"/>
        </w:rPr>
        <w:t xml:space="preserve">социальный статус </w:t>
      </w:r>
      <w:r w:rsidRPr="00242D6C">
        <w:rPr>
          <w:sz w:val="28"/>
          <w:lang w:val="ru-RU"/>
        </w:rPr>
        <w:t xml:space="preserve">членов коллектива, а по строкам – их </w:t>
      </w:r>
      <w:r w:rsidRPr="00242D6C">
        <w:rPr>
          <w:i/>
          <w:iCs/>
          <w:sz w:val="28"/>
          <w:lang w:val="ru-RU"/>
        </w:rPr>
        <w:t>социальную экспансию.</w:t>
      </w:r>
    </w:p>
    <w:p w:rsidR="00B23210" w:rsidRPr="00242D6C" w:rsidRDefault="00B23210" w:rsidP="00242D6C">
      <w:pPr>
        <w:spacing w:line="360" w:lineRule="auto"/>
        <w:ind w:firstLine="709"/>
        <w:jc w:val="both"/>
        <w:rPr>
          <w:sz w:val="28"/>
          <w:lang w:val="ru-RU"/>
        </w:rPr>
      </w:pPr>
      <w:r w:rsidRPr="00242D6C">
        <w:rPr>
          <w:sz w:val="28"/>
          <w:lang w:val="ru-RU"/>
        </w:rPr>
        <w:t>Хотя некоторые выводы об этих характеристиках можно сделать по числам, приведенным в таблице, все же лучше данные числа пересчитать в социометрические индексы.</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i/>
          <w:iCs/>
          <w:sz w:val="28"/>
          <w:lang w:val="ru-RU"/>
        </w:rPr>
      </w:pPr>
      <w:r w:rsidRPr="00242D6C">
        <w:rPr>
          <w:i/>
          <w:iCs/>
          <w:sz w:val="28"/>
          <w:lang w:val="ru-RU"/>
        </w:rPr>
        <w:t>Персональные социо</w:t>
      </w:r>
      <w:r w:rsidR="00544DD2" w:rsidRPr="00242D6C">
        <w:rPr>
          <w:i/>
          <w:iCs/>
          <w:sz w:val="28"/>
          <w:lang w:val="ru-RU"/>
        </w:rPr>
        <w:t>и</w:t>
      </w:r>
      <w:r w:rsidRPr="00242D6C">
        <w:rPr>
          <w:i/>
          <w:iCs/>
          <w:sz w:val="28"/>
          <w:lang w:val="ru-RU"/>
        </w:rPr>
        <w:t>ндексы.</w:t>
      </w:r>
    </w:p>
    <w:p w:rsidR="00487930" w:rsidRPr="00242D6C" w:rsidRDefault="00487930" w:rsidP="00242D6C">
      <w:pPr>
        <w:spacing w:line="360" w:lineRule="auto"/>
        <w:ind w:firstLine="709"/>
        <w:jc w:val="both"/>
        <w:rPr>
          <w:i/>
          <w:iCs/>
          <w:sz w:val="28"/>
          <w:lang w:val="ru-RU"/>
        </w:rPr>
      </w:pPr>
    </w:p>
    <w:p w:rsidR="00B23210" w:rsidRPr="00242D6C" w:rsidRDefault="00B23210" w:rsidP="00242D6C">
      <w:pPr>
        <w:spacing w:line="360" w:lineRule="auto"/>
        <w:ind w:firstLine="709"/>
        <w:jc w:val="both"/>
        <w:rPr>
          <w:sz w:val="28"/>
          <w:lang w:val="ru-RU"/>
        </w:rPr>
      </w:pPr>
      <w:r w:rsidRPr="00242D6C">
        <w:rPr>
          <w:b/>
          <w:bCs/>
          <w:sz w:val="28"/>
          <w:lang w:val="ru-RU"/>
        </w:rPr>
        <w:t xml:space="preserve">Индексы социального статуса. </w:t>
      </w:r>
      <w:r w:rsidRPr="00242D6C">
        <w:rPr>
          <w:sz w:val="28"/>
          <w:lang w:val="ru-RU"/>
        </w:rPr>
        <w:t xml:space="preserve">Индексы положительного и отрицательного статуса </w:t>
      </w:r>
      <w:r w:rsidRPr="00242D6C">
        <w:rPr>
          <w:sz w:val="28"/>
          <w:lang w:val="en-US"/>
        </w:rPr>
        <w:t>i</w:t>
      </w:r>
      <w:r w:rsidRPr="00242D6C">
        <w:rPr>
          <w:sz w:val="28"/>
          <w:lang w:val="ru-RU"/>
        </w:rPr>
        <w:t xml:space="preserve">-й персоны (из общего числа персон </w:t>
      </w:r>
      <w:r w:rsidRPr="00242D6C">
        <w:rPr>
          <w:sz w:val="28"/>
          <w:lang w:val="en-US"/>
        </w:rPr>
        <w:t>N</w:t>
      </w:r>
      <w:r w:rsidRPr="00242D6C">
        <w:rPr>
          <w:sz w:val="28"/>
          <w:lang w:val="ru-RU"/>
        </w:rPr>
        <w:t xml:space="preserve">) оцениваются как отношения </w:t>
      </w:r>
      <w:r w:rsidRPr="00242D6C">
        <w:rPr>
          <w:position w:val="-12"/>
          <w:sz w:val="28"/>
          <w:lang w:val="ru-RU"/>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5" o:title=""/>
          </v:shape>
          <o:OLEObject Type="Embed" ProgID="Equation.3" ShapeID="_x0000_i1025" DrawAspect="Content" ObjectID="_1470254281" r:id="rId6"/>
        </w:object>
      </w:r>
      <w:r w:rsidRPr="00242D6C">
        <w:rPr>
          <w:sz w:val="28"/>
          <w:lang w:val="ru-RU"/>
        </w:rPr>
        <w:t xml:space="preserve">, </w:t>
      </w:r>
      <w:r w:rsidRPr="00242D6C">
        <w:rPr>
          <w:position w:val="-12"/>
          <w:sz w:val="28"/>
          <w:lang w:val="ru-RU"/>
        </w:rPr>
        <w:object w:dxaOrig="340" w:dyaOrig="380">
          <v:shape id="_x0000_i1026" type="#_x0000_t75" style="width:17.25pt;height:18.75pt" o:ole="">
            <v:imagedata r:id="rId7" o:title=""/>
          </v:shape>
          <o:OLEObject Type="Embed" ProgID="Equation.3" ShapeID="_x0000_i1026" DrawAspect="Content" ObjectID="_1470254282" r:id="rId8"/>
        </w:object>
      </w:r>
      <w:r w:rsidRPr="00242D6C">
        <w:rPr>
          <w:sz w:val="28"/>
          <w:lang w:val="ru-RU"/>
        </w:rPr>
        <w:t xml:space="preserve"> соответственно числа положительных </w:t>
      </w:r>
      <w:r w:rsidRPr="00242D6C">
        <w:rPr>
          <w:position w:val="-12"/>
          <w:sz w:val="28"/>
          <w:lang w:val="ru-RU"/>
        </w:rPr>
        <w:object w:dxaOrig="460" w:dyaOrig="380">
          <v:shape id="_x0000_i1027" type="#_x0000_t75" style="width:23.25pt;height:18.75pt" o:ole="">
            <v:imagedata r:id="rId9" o:title=""/>
          </v:shape>
          <o:OLEObject Type="Embed" ProgID="Equation.3" ShapeID="_x0000_i1027" DrawAspect="Content" ObjectID="_1470254283" r:id="rId10"/>
        </w:object>
      </w:r>
      <w:r w:rsidRPr="00242D6C">
        <w:rPr>
          <w:sz w:val="28"/>
          <w:lang w:val="ru-RU"/>
        </w:rPr>
        <w:t xml:space="preserve"> и отрицательных </w:t>
      </w:r>
      <w:r w:rsidRPr="00242D6C">
        <w:rPr>
          <w:position w:val="-12"/>
          <w:sz w:val="28"/>
          <w:lang w:val="ru-RU"/>
        </w:rPr>
        <w:object w:dxaOrig="460" w:dyaOrig="380">
          <v:shape id="_x0000_i1028" type="#_x0000_t75" style="width:23.25pt;height:18.75pt" o:ole="">
            <v:imagedata r:id="rId11" o:title=""/>
          </v:shape>
          <o:OLEObject Type="Embed" ProgID="Equation.3" ShapeID="_x0000_i1028" DrawAspect="Content" ObjectID="_1470254284" r:id="rId12"/>
        </w:object>
      </w:r>
      <w:r w:rsidRPr="00242D6C">
        <w:rPr>
          <w:sz w:val="28"/>
          <w:lang w:val="ru-RU"/>
        </w:rPr>
        <w:t xml:space="preserve"> выборов </w:t>
      </w:r>
      <w:r w:rsidRPr="00242D6C">
        <w:rPr>
          <w:sz w:val="28"/>
          <w:lang w:val="en-US"/>
        </w:rPr>
        <w:t>i</w:t>
      </w:r>
      <w:r w:rsidRPr="00242D6C">
        <w:rPr>
          <w:sz w:val="28"/>
          <w:lang w:val="ru-RU"/>
        </w:rPr>
        <w:t>-й персоны остальными членами коллектива к возможному числу  выборов (</w:t>
      </w:r>
      <w:r w:rsidRPr="00242D6C">
        <w:rPr>
          <w:sz w:val="28"/>
          <w:lang w:val="en-US"/>
        </w:rPr>
        <w:t>N</w:t>
      </w:r>
      <w:r w:rsidRPr="00242D6C">
        <w:rPr>
          <w:sz w:val="28"/>
          <w:lang w:val="ru-RU"/>
        </w:rPr>
        <w:t>-1):</w:t>
      </w:r>
    </w:p>
    <w:p w:rsidR="00B23210" w:rsidRPr="00242D6C" w:rsidRDefault="00B23210" w:rsidP="00242D6C">
      <w:pPr>
        <w:spacing w:line="360" w:lineRule="auto"/>
        <w:ind w:firstLine="709"/>
        <w:jc w:val="both"/>
        <w:rPr>
          <w:sz w:val="28"/>
          <w:lang w:val="ru-RU"/>
        </w:rPr>
      </w:pPr>
      <w:r w:rsidRPr="00242D6C">
        <w:rPr>
          <w:position w:val="-22"/>
          <w:sz w:val="28"/>
          <w:lang w:val="en-US"/>
        </w:rPr>
        <w:object w:dxaOrig="1560" w:dyaOrig="600">
          <v:shape id="_x0000_i1029" type="#_x0000_t75" style="width:78pt;height:30pt" o:ole="">
            <v:imagedata r:id="rId13" o:title=""/>
          </v:shape>
          <o:OLEObject Type="Embed" ProgID="Equation.3" ShapeID="_x0000_i1029" DrawAspect="Content" ObjectID="_1470254285" r:id="rId14"/>
        </w:object>
      </w:r>
      <w:r w:rsidRPr="00242D6C">
        <w:rPr>
          <w:sz w:val="28"/>
          <w:lang w:val="ru-RU"/>
        </w:rPr>
        <w:t xml:space="preserve">; </w:t>
      </w:r>
      <w:r w:rsidRPr="00242D6C">
        <w:rPr>
          <w:position w:val="-22"/>
          <w:sz w:val="28"/>
          <w:lang w:val="en-US"/>
        </w:rPr>
        <w:object w:dxaOrig="1560" w:dyaOrig="600">
          <v:shape id="_x0000_i1030" type="#_x0000_t75" style="width:78pt;height:30pt" o:ole="">
            <v:imagedata r:id="rId15" o:title=""/>
          </v:shape>
          <o:OLEObject Type="Embed" ProgID="Equation.3" ShapeID="_x0000_i1030" DrawAspect="Content" ObjectID="_1470254286" r:id="rId16"/>
        </w:objec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sz w:val="28"/>
          <w:lang w:val="ru-RU"/>
        </w:rPr>
        <w:t xml:space="preserve">Данные индексы характеризуют степени позитивного и негативного отношения коллектива к  </w:t>
      </w:r>
      <w:r w:rsidRPr="00242D6C">
        <w:rPr>
          <w:sz w:val="28"/>
          <w:lang w:val="en-US"/>
        </w:rPr>
        <w:t>i</w:t>
      </w:r>
      <w:r w:rsidRPr="00242D6C">
        <w:rPr>
          <w:sz w:val="28"/>
          <w:lang w:val="ru-RU"/>
        </w:rPr>
        <w:t xml:space="preserve">-й персоне. Степень преобладания позитива или негатива в этом отношении характеризует индекс </w:t>
      </w:r>
      <w:r w:rsidRPr="00242D6C">
        <w:rPr>
          <w:position w:val="-12"/>
          <w:sz w:val="28"/>
          <w:lang w:val="ru-RU"/>
        </w:rPr>
        <w:object w:dxaOrig="440" w:dyaOrig="380">
          <v:shape id="_x0000_i1031" type="#_x0000_t75" style="width:21.75pt;height:18.75pt" o:ole="">
            <v:imagedata r:id="rId17" o:title=""/>
          </v:shape>
          <o:OLEObject Type="Embed" ProgID="Equation.3" ShapeID="_x0000_i1031" DrawAspect="Content" ObjectID="_1470254287" r:id="rId18"/>
        </w:object>
      </w:r>
      <w:r w:rsidRPr="00242D6C">
        <w:rPr>
          <w:sz w:val="28"/>
          <w:lang w:val="ru-RU"/>
        </w:rPr>
        <w:t xml:space="preserve">:      </w:t>
      </w:r>
    </w:p>
    <w:p w:rsidR="00B23210" w:rsidRPr="00242D6C" w:rsidRDefault="00B23210" w:rsidP="00242D6C">
      <w:pPr>
        <w:spacing w:line="360" w:lineRule="auto"/>
        <w:ind w:firstLine="709"/>
        <w:jc w:val="both"/>
        <w:rPr>
          <w:sz w:val="28"/>
          <w:lang w:val="ru-RU"/>
        </w:rPr>
      </w:pPr>
      <w:r w:rsidRPr="00242D6C">
        <w:rPr>
          <w:position w:val="-22"/>
          <w:sz w:val="28"/>
          <w:lang w:val="en-US"/>
        </w:rPr>
        <w:object w:dxaOrig="3340" w:dyaOrig="600">
          <v:shape id="_x0000_i1032" type="#_x0000_t75" style="width:167.25pt;height:30pt" o:ole="">
            <v:imagedata r:id="rId19" o:title=""/>
          </v:shape>
          <o:OLEObject Type="Embed" ProgID="Equation.3" ShapeID="_x0000_i1032" DrawAspect="Content" ObjectID="_1470254288" r:id="rId20"/>
        </w:objec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sz w:val="28"/>
          <w:lang w:val="ru-RU"/>
        </w:rPr>
        <w:t xml:space="preserve">Индекс общего социального статуса </w:t>
      </w:r>
      <w:r w:rsidRPr="00242D6C">
        <w:rPr>
          <w:sz w:val="28"/>
          <w:lang w:val="en-US"/>
        </w:rPr>
        <w:t>C</w:t>
      </w:r>
      <w:r w:rsidRPr="00242D6C">
        <w:rPr>
          <w:sz w:val="28"/>
          <w:vertAlign w:val="subscript"/>
          <w:lang w:val="en-US"/>
        </w:rPr>
        <w:t>i</w:t>
      </w:r>
      <w:r w:rsidRPr="00242D6C">
        <w:rPr>
          <w:sz w:val="28"/>
          <w:lang w:val="ru-RU"/>
        </w:rPr>
        <w:t xml:space="preserve"> характеризует степень не безразличия коллектива по отношению к </w:t>
      </w:r>
      <w:r w:rsidRPr="00242D6C">
        <w:rPr>
          <w:sz w:val="28"/>
          <w:lang w:val="en-US"/>
        </w:rPr>
        <w:t>i</w:t>
      </w:r>
      <w:r w:rsidRPr="00242D6C">
        <w:rPr>
          <w:sz w:val="28"/>
          <w:lang w:val="ru-RU"/>
        </w:rPr>
        <w:t>-й персоне, иными словами, степень проявляемого к ней интереса (позитивного или негативного):</w:t>
      </w:r>
    </w:p>
    <w:p w:rsidR="00B23210" w:rsidRPr="00242D6C" w:rsidRDefault="00B23210" w:rsidP="00242D6C">
      <w:pPr>
        <w:spacing w:line="360" w:lineRule="auto"/>
        <w:ind w:firstLine="709"/>
        <w:jc w:val="both"/>
        <w:rPr>
          <w:sz w:val="28"/>
          <w:lang w:val="ru-RU"/>
        </w:rPr>
      </w:pPr>
      <w:r w:rsidRPr="00242D6C">
        <w:rPr>
          <w:position w:val="-22"/>
          <w:sz w:val="28"/>
          <w:lang w:val="ru-RU"/>
        </w:rPr>
        <w:object w:dxaOrig="3200" w:dyaOrig="600">
          <v:shape id="_x0000_i1033" type="#_x0000_t75" style="width:159.75pt;height:30pt" o:ole="">
            <v:imagedata r:id="rId21" o:title=""/>
          </v:shape>
          <o:OLEObject Type="Embed" ProgID="Equation.3" ShapeID="_x0000_i1033" DrawAspect="Content" ObjectID="_1470254289" r:id="rId22"/>
        </w:objec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sz w:val="28"/>
          <w:lang w:val="ru-RU"/>
        </w:rPr>
        <w:t xml:space="preserve">Из формул следует, что индексы социального статуса, по существу, представляют собой относительные частоты тех или иных выборов. Конечно, для принятия решений внутри социальной группы нет острой необходимости в относительных частотах. Ведь при подведении итогов голосования на собрании трудового коллектива обычно считают абсолютные частоты («сколько», а не «какой процент»). Но для сравнения итогов голосования нескольких количественно разных коллективов по одному вопросу (например, о выборе общего лидера нескольких коллективов) целесообразно использовать социоиндексы. Правда, и здесь возникают нюансы, связанные с разницей в социальных установках групп. Высокий авторитет </w:t>
      </w:r>
      <w:r w:rsidRPr="00242D6C">
        <w:rPr>
          <w:sz w:val="28"/>
          <w:lang w:val="en-US"/>
        </w:rPr>
        <w:t>i</w:t>
      </w:r>
      <w:r w:rsidRPr="00242D6C">
        <w:rPr>
          <w:sz w:val="28"/>
          <w:lang w:val="ru-RU"/>
        </w:rPr>
        <w:t xml:space="preserve">-й персоны в научном коллективе и не менее высокий авторитет </w:t>
      </w:r>
      <w:r w:rsidRPr="00242D6C">
        <w:rPr>
          <w:sz w:val="28"/>
          <w:lang w:val="en-US"/>
        </w:rPr>
        <w:t>j</w:t>
      </w:r>
      <w:r w:rsidRPr="00242D6C">
        <w:rPr>
          <w:sz w:val="28"/>
          <w:lang w:val="ru-RU"/>
        </w:rPr>
        <w:t xml:space="preserve">-й персоны в коллективе воров – карманников не подлежит сравнению, как несравнимы по силе слон и кит, которые никогда не встречаются в поединке. Но если у выборов кандидата в руководство фирмы социоиндекс </w:t>
      </w:r>
      <w:r w:rsidRPr="00242D6C">
        <w:rPr>
          <w:position w:val="-12"/>
          <w:sz w:val="28"/>
          <w:lang w:val="ru-RU"/>
        </w:rPr>
        <w:object w:dxaOrig="440" w:dyaOrig="380">
          <v:shape id="_x0000_i1034" type="#_x0000_t75" style="width:21.75pt;height:18.75pt" o:ole="">
            <v:imagedata r:id="rId23" o:title=""/>
          </v:shape>
          <o:OLEObject Type="Embed" ProgID="Equation.3" ShapeID="_x0000_i1034" DrawAspect="Content" ObjectID="_1470254290" r:id="rId24"/>
        </w:object>
      </w:r>
      <w:r w:rsidRPr="00242D6C">
        <w:rPr>
          <w:sz w:val="28"/>
          <w:lang w:val="ru-RU"/>
        </w:rPr>
        <w:t xml:space="preserve">  равен 0.6 в коллективе рабочих и –0.7 в коллективе менеджеров, то есть о чем подумать избирательной комиссии и самому кандидату. </w:t>
      </w:r>
    </w:p>
    <w:p w:rsidR="00B23210" w:rsidRPr="00242D6C" w:rsidRDefault="00B23210" w:rsidP="00242D6C">
      <w:pPr>
        <w:spacing w:line="360" w:lineRule="auto"/>
        <w:ind w:firstLine="709"/>
        <w:jc w:val="both"/>
        <w:rPr>
          <w:sz w:val="28"/>
          <w:lang w:val="en-US"/>
        </w:rPr>
      </w:pPr>
      <w:r w:rsidRPr="00242D6C">
        <w:rPr>
          <w:b/>
          <w:bCs/>
          <w:sz w:val="28"/>
          <w:lang w:val="ru-RU"/>
        </w:rPr>
        <w:t xml:space="preserve">Индексы социальной экспансии. </w:t>
      </w:r>
      <w:r w:rsidRPr="00242D6C">
        <w:rPr>
          <w:sz w:val="28"/>
          <w:lang w:val="ru-RU"/>
        </w:rPr>
        <w:t xml:space="preserve"> По аналогии с индексами социального статуса могут использоваться индексы социальной экспансии (активности) </w:t>
      </w:r>
      <w:r w:rsidRPr="00242D6C">
        <w:rPr>
          <w:position w:val="-12"/>
          <w:sz w:val="28"/>
          <w:lang w:val="ru-RU"/>
        </w:rPr>
        <w:object w:dxaOrig="1520" w:dyaOrig="380">
          <v:shape id="_x0000_i1035" type="#_x0000_t75" style="width:75.75pt;height:18.75pt" o:ole="">
            <v:imagedata r:id="rId25" o:title=""/>
          </v:shape>
          <o:OLEObject Type="Embed" ProgID="Equation.3" ShapeID="_x0000_i1035" DrawAspect="Content" ObjectID="_1470254291" r:id="rId26"/>
        </w:object>
      </w:r>
      <w:r w:rsidRPr="00242D6C">
        <w:rPr>
          <w:sz w:val="28"/>
          <w:lang w:val="ru-RU"/>
        </w:rPr>
        <w:t xml:space="preserve">, характеризующие соответственно положительную, отрицательную, преобладающую и общую активность </w:t>
      </w:r>
      <w:r w:rsidRPr="00242D6C">
        <w:rPr>
          <w:sz w:val="28"/>
          <w:lang w:val="en-US"/>
        </w:rPr>
        <w:t>i</w:t>
      </w:r>
      <w:r w:rsidRPr="00242D6C">
        <w:rPr>
          <w:sz w:val="28"/>
          <w:lang w:val="ru-RU"/>
        </w:rPr>
        <w:t>-й персоны по выражению ее отношения к остальным членам коллектива. Расчет индексов социальной экспансии производится по следующим формулам:</w:t>
      </w:r>
    </w:p>
    <w:p w:rsidR="00B23210" w:rsidRPr="00242D6C" w:rsidRDefault="00B23210" w:rsidP="00242D6C">
      <w:pPr>
        <w:spacing w:line="360" w:lineRule="auto"/>
        <w:ind w:firstLine="709"/>
        <w:jc w:val="both"/>
        <w:rPr>
          <w:sz w:val="28"/>
          <w:lang w:val="en-US"/>
        </w:rPr>
      </w:pPr>
      <w:r w:rsidRPr="00242D6C">
        <w:rPr>
          <w:position w:val="-52"/>
          <w:sz w:val="28"/>
          <w:lang w:val="en-US"/>
        </w:rPr>
        <w:object w:dxaOrig="3640" w:dyaOrig="1160">
          <v:shape id="_x0000_i1036" type="#_x0000_t75" style="width:182.25pt;height:57.75pt" o:ole="">
            <v:imagedata r:id="rId27" o:title=""/>
          </v:shape>
          <o:OLEObject Type="Embed" ProgID="Equation.3" ShapeID="_x0000_i1036" DrawAspect="Content" ObjectID="_1470254292" r:id="rId28"/>
        </w:object>
      </w:r>
    </w:p>
    <w:p w:rsidR="00B23210" w:rsidRPr="00242D6C" w:rsidRDefault="00B23210" w:rsidP="00242D6C">
      <w:pPr>
        <w:spacing w:line="360" w:lineRule="auto"/>
        <w:ind w:firstLine="709"/>
        <w:jc w:val="both"/>
        <w:rPr>
          <w:sz w:val="28"/>
          <w:lang w:val="ru-RU"/>
        </w:rPr>
      </w:pPr>
      <w:r w:rsidRPr="00242D6C">
        <w:rPr>
          <w:sz w:val="28"/>
          <w:lang w:val="ru-RU"/>
        </w:rPr>
        <w:t xml:space="preserve">Здесь </w:t>
      </w:r>
      <w:r w:rsidRPr="00242D6C">
        <w:rPr>
          <w:position w:val="-12"/>
          <w:sz w:val="28"/>
          <w:lang w:val="ru-RU"/>
        </w:rPr>
        <w:object w:dxaOrig="340" w:dyaOrig="380">
          <v:shape id="_x0000_i1037" type="#_x0000_t75" style="width:17.25pt;height:18.75pt" o:ole="">
            <v:imagedata r:id="rId29" o:title=""/>
          </v:shape>
          <o:OLEObject Type="Embed" ProgID="Equation.3" ShapeID="_x0000_i1037" DrawAspect="Content" ObjectID="_1470254293" r:id="rId30"/>
        </w:object>
      </w:r>
      <w:r w:rsidRPr="00242D6C">
        <w:rPr>
          <w:sz w:val="28"/>
          <w:lang w:val="ru-RU"/>
        </w:rPr>
        <w:t xml:space="preserve"> и </w:t>
      </w:r>
      <w:r w:rsidRPr="00242D6C">
        <w:rPr>
          <w:position w:val="-12"/>
          <w:sz w:val="28"/>
          <w:lang w:val="ru-RU"/>
        </w:rPr>
        <w:object w:dxaOrig="340" w:dyaOrig="380">
          <v:shape id="_x0000_i1038" type="#_x0000_t75" style="width:17.25pt;height:18.75pt" o:ole="">
            <v:imagedata r:id="rId31" o:title=""/>
          </v:shape>
          <o:OLEObject Type="Embed" ProgID="Equation.3" ShapeID="_x0000_i1038" DrawAspect="Content" ObjectID="_1470254294" r:id="rId32"/>
        </w:object>
      </w:r>
      <w:r w:rsidRPr="00242D6C">
        <w:rPr>
          <w:sz w:val="28"/>
          <w:lang w:val="ru-RU"/>
        </w:rPr>
        <w:t xml:space="preserve"> соответственно – число симпатий и антипатий, проявленных к </w:t>
      </w:r>
      <w:r w:rsidRPr="00242D6C">
        <w:rPr>
          <w:sz w:val="28"/>
          <w:lang w:val="en-US"/>
        </w:rPr>
        <w:t>i</w:t>
      </w:r>
      <w:r w:rsidRPr="00242D6C">
        <w:rPr>
          <w:sz w:val="28"/>
          <w:lang w:val="ru-RU"/>
        </w:rPr>
        <w:t>-й персоне по отношению к остальным членам коллектива.</w:t>
      </w:r>
    </w:p>
    <w:p w:rsidR="00B23210" w:rsidRPr="00242D6C" w:rsidRDefault="00B23210" w:rsidP="00242D6C">
      <w:pPr>
        <w:spacing w:line="360" w:lineRule="auto"/>
        <w:ind w:firstLine="709"/>
        <w:jc w:val="both"/>
        <w:rPr>
          <w:sz w:val="28"/>
          <w:lang w:val="ru-RU"/>
        </w:rPr>
      </w:pPr>
      <w:r w:rsidRPr="00242D6C">
        <w:rPr>
          <w:sz w:val="28"/>
          <w:lang w:val="ru-RU"/>
        </w:rPr>
        <w:t xml:space="preserve">В таблице представлены результаты расчета персональных социоиндексов по данным предыдущей таблицы. </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ru-RU"/>
        </w:rPr>
      </w:pPr>
      <w:r w:rsidRPr="00242D6C">
        <w:rPr>
          <w:sz w:val="28"/>
          <w:lang w:val="ru-RU"/>
        </w:rPr>
        <w:t>Персональные социоиндексы (пример)</w:t>
      </w:r>
    </w:p>
    <w:tbl>
      <w:tblPr>
        <w:tblW w:w="9286" w:type="dxa"/>
        <w:tblInd w:w="93" w:type="dxa"/>
        <w:tblLook w:val="0000" w:firstRow="0" w:lastRow="0" w:firstColumn="0" w:lastColumn="0" w:noHBand="0" w:noVBand="0"/>
      </w:tblPr>
      <w:tblGrid>
        <w:gridCol w:w="1605"/>
        <w:gridCol w:w="924"/>
        <w:gridCol w:w="924"/>
        <w:gridCol w:w="1069"/>
        <w:gridCol w:w="924"/>
        <w:gridCol w:w="960"/>
        <w:gridCol w:w="960"/>
        <w:gridCol w:w="960"/>
        <w:gridCol w:w="960"/>
      </w:tblGrid>
      <w:tr w:rsidR="00B23210" w:rsidRPr="00242D6C" w:rsidTr="00242D6C">
        <w:trPr>
          <w:cantSplit/>
          <w:trHeight w:val="390"/>
        </w:trPr>
        <w:tc>
          <w:tcPr>
            <w:tcW w:w="1605" w:type="dxa"/>
            <w:vMerge w:val="restart"/>
            <w:tcBorders>
              <w:top w:val="single" w:sz="8" w:space="0" w:color="auto"/>
              <w:left w:val="single" w:sz="8" w:space="0" w:color="auto"/>
              <w:bottom w:val="single" w:sz="8" w:space="0" w:color="000000"/>
              <w:right w:val="single" w:sz="8" w:space="0" w:color="auto"/>
            </w:tcBorders>
            <w:vAlign w:val="center"/>
          </w:tcPr>
          <w:p w:rsidR="00242D6C" w:rsidRPr="00242D6C" w:rsidRDefault="00242D6C" w:rsidP="00242D6C">
            <w:pPr>
              <w:rPr>
                <w:rFonts w:ascii="Arial CYR" w:hAnsi="Arial CYR" w:cs="Arial CYR"/>
                <w:sz w:val="20"/>
                <w:szCs w:val="20"/>
                <w:lang w:val="ru-RU"/>
              </w:rPr>
            </w:pPr>
          </w:p>
          <w:p w:rsidR="00B23210" w:rsidRPr="00242D6C" w:rsidRDefault="00B23210" w:rsidP="00242D6C">
            <w:pPr>
              <w:rPr>
                <w:rFonts w:ascii="Arial CYR" w:hAnsi="Arial CYR" w:cs="Arial CYR"/>
                <w:sz w:val="20"/>
                <w:szCs w:val="20"/>
              </w:rPr>
            </w:pPr>
            <w:r w:rsidRPr="00242D6C">
              <w:rPr>
                <w:rFonts w:ascii="Arial CYR" w:hAnsi="Arial CYR" w:cs="Arial CYR"/>
                <w:sz w:val="20"/>
                <w:szCs w:val="20"/>
              </w:rPr>
              <w:t>персонали</w:t>
            </w:r>
          </w:p>
        </w:tc>
        <w:tc>
          <w:tcPr>
            <w:tcW w:w="3841" w:type="dxa"/>
            <w:gridSpan w:val="4"/>
            <w:tcBorders>
              <w:top w:val="single" w:sz="8" w:space="0" w:color="auto"/>
              <w:left w:val="nil"/>
              <w:bottom w:val="single" w:sz="4" w:space="0" w:color="auto"/>
              <w:right w:val="single" w:sz="8" w:space="0" w:color="000000"/>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индексы социального статуса</w:t>
            </w:r>
          </w:p>
        </w:tc>
        <w:tc>
          <w:tcPr>
            <w:tcW w:w="3840" w:type="dxa"/>
            <w:gridSpan w:val="4"/>
            <w:tcBorders>
              <w:top w:val="single" w:sz="8" w:space="0" w:color="auto"/>
              <w:left w:val="nil"/>
              <w:bottom w:val="single" w:sz="4" w:space="0" w:color="auto"/>
              <w:right w:val="single" w:sz="8" w:space="0" w:color="000000"/>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индексы социальной экспансии</w:t>
            </w:r>
          </w:p>
        </w:tc>
      </w:tr>
      <w:tr w:rsidR="00B23210" w:rsidRPr="00242D6C" w:rsidTr="00242D6C">
        <w:trPr>
          <w:cantSplit/>
          <w:trHeight w:val="523"/>
        </w:trPr>
        <w:tc>
          <w:tcPr>
            <w:tcW w:w="1605" w:type="dxa"/>
            <w:vMerge/>
            <w:tcBorders>
              <w:top w:val="single" w:sz="8" w:space="0" w:color="auto"/>
              <w:left w:val="single" w:sz="8" w:space="0" w:color="auto"/>
              <w:bottom w:val="single" w:sz="8" w:space="0" w:color="000000"/>
              <w:right w:val="single" w:sz="8" w:space="0" w:color="auto"/>
            </w:tcBorders>
            <w:vAlign w:val="center"/>
          </w:tcPr>
          <w:p w:rsidR="00B23210" w:rsidRPr="00242D6C" w:rsidRDefault="00B23210" w:rsidP="00242D6C">
            <w:pPr>
              <w:rPr>
                <w:rFonts w:ascii="Arial CYR" w:hAnsi="Arial CYR" w:cs="Arial CYR"/>
                <w:sz w:val="20"/>
                <w:szCs w:val="20"/>
              </w:rPr>
            </w:pPr>
          </w:p>
        </w:tc>
        <w:tc>
          <w:tcPr>
            <w:tcW w:w="924"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340" w:dyaOrig="380">
                <v:shape id="_x0000_i1039" type="#_x0000_t75" style="width:17.25pt;height:18.75pt" o:ole="">
                  <v:imagedata r:id="rId33" o:title=""/>
                </v:shape>
                <o:OLEObject Type="Embed" ProgID="Equation.3" ShapeID="_x0000_i1039" DrawAspect="Content" ObjectID="_1470254295" r:id="rId34"/>
              </w:object>
            </w:r>
          </w:p>
        </w:tc>
        <w:tc>
          <w:tcPr>
            <w:tcW w:w="924"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340" w:dyaOrig="380">
                <v:shape id="_x0000_i1040" type="#_x0000_t75" style="width:17.25pt;height:18.75pt" o:ole="">
                  <v:imagedata r:id="rId35" o:title=""/>
                </v:shape>
                <o:OLEObject Type="Embed" ProgID="Equation.3" ShapeID="_x0000_i1040" DrawAspect="Content" ObjectID="_1470254296" r:id="rId36"/>
              </w:object>
            </w:r>
          </w:p>
        </w:tc>
        <w:tc>
          <w:tcPr>
            <w:tcW w:w="1069"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440" w:dyaOrig="380">
                <v:shape id="_x0000_i1041" type="#_x0000_t75" style="width:21.75pt;height:18.75pt" o:ole="">
                  <v:imagedata r:id="rId37" o:title=""/>
                </v:shape>
                <o:OLEObject Type="Embed" ProgID="Equation.3" ShapeID="_x0000_i1041" DrawAspect="Content" ObjectID="_1470254297" r:id="rId38"/>
              </w:object>
            </w:r>
          </w:p>
        </w:tc>
        <w:tc>
          <w:tcPr>
            <w:tcW w:w="924" w:type="dxa"/>
            <w:tcBorders>
              <w:top w:val="nil"/>
              <w:left w:val="nil"/>
              <w:bottom w:val="single" w:sz="8"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279" w:dyaOrig="360">
                <v:shape id="_x0000_i1042" type="#_x0000_t75" style="width:14.25pt;height:18pt" o:ole="">
                  <v:imagedata r:id="rId39" o:title=""/>
                </v:shape>
                <o:OLEObject Type="Embed" ProgID="Equation.3" ShapeID="_x0000_i1042" DrawAspect="Content" ObjectID="_1470254298" r:id="rId40"/>
              </w:objec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340" w:dyaOrig="380">
                <v:shape id="_x0000_i1043" type="#_x0000_t75" style="width:17.25pt;height:18.75pt" o:ole="">
                  <v:imagedata r:id="rId41" o:title=""/>
                </v:shape>
                <o:OLEObject Type="Embed" ProgID="Equation.3" ShapeID="_x0000_i1043" DrawAspect="Content" ObjectID="_1470254299" r:id="rId42"/>
              </w:objec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340" w:dyaOrig="380">
                <v:shape id="_x0000_i1044" type="#_x0000_t75" style="width:17.25pt;height:18.75pt" o:ole="">
                  <v:imagedata r:id="rId43" o:title=""/>
                </v:shape>
                <o:OLEObject Type="Embed" ProgID="Equation.3" ShapeID="_x0000_i1044" DrawAspect="Content" ObjectID="_1470254300" r:id="rId44"/>
              </w:objec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420" w:dyaOrig="380">
                <v:shape id="_x0000_i1045" type="#_x0000_t75" style="width:21pt;height:18.75pt" o:ole="">
                  <v:imagedata r:id="rId45" o:title=""/>
                </v:shape>
                <o:OLEObject Type="Embed" ProgID="Equation.3" ShapeID="_x0000_i1045" DrawAspect="Content" ObjectID="_1470254301" r:id="rId46"/>
              </w:object>
            </w:r>
          </w:p>
        </w:tc>
        <w:tc>
          <w:tcPr>
            <w:tcW w:w="960" w:type="dxa"/>
            <w:tcBorders>
              <w:top w:val="nil"/>
              <w:left w:val="nil"/>
              <w:bottom w:val="single" w:sz="8"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position w:val="-12"/>
                <w:sz w:val="20"/>
                <w:szCs w:val="20"/>
              </w:rPr>
              <w:object w:dxaOrig="320" w:dyaOrig="380">
                <v:shape id="_x0000_i1046" type="#_x0000_t75" style="width:15.75pt;height:18.75pt" o:ole="">
                  <v:imagedata r:id="rId47" o:title=""/>
                </v:shape>
                <o:OLEObject Type="Embed" ProgID="Equation.3" ShapeID="_x0000_i1046" DrawAspect="Content" ObjectID="_1470254302" r:id="rId48"/>
              </w:object>
            </w:r>
          </w:p>
        </w:tc>
      </w:tr>
      <w:tr w:rsidR="00B23210" w:rsidRPr="00242D6C" w:rsidTr="00242D6C">
        <w:trPr>
          <w:trHeight w:val="280"/>
        </w:trPr>
        <w:tc>
          <w:tcPr>
            <w:tcW w:w="1605" w:type="dxa"/>
            <w:tcBorders>
              <w:top w:val="nil"/>
              <w:left w:val="single" w:sz="4" w:space="0" w:color="auto"/>
              <w:bottom w:val="single" w:sz="4"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1</w:t>
            </w:r>
          </w:p>
        </w:tc>
        <w:tc>
          <w:tcPr>
            <w:tcW w:w="924"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24"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1069"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24"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0,80</w:t>
            </w:r>
          </w:p>
        </w:tc>
      </w:tr>
      <w:tr w:rsidR="00B23210" w:rsidRPr="00242D6C" w:rsidTr="00242D6C">
        <w:trPr>
          <w:trHeight w:val="279"/>
        </w:trPr>
        <w:tc>
          <w:tcPr>
            <w:tcW w:w="1605" w:type="dxa"/>
            <w:tcBorders>
              <w:top w:val="nil"/>
              <w:left w:val="single" w:sz="4" w:space="0" w:color="auto"/>
              <w:bottom w:val="single" w:sz="4"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2</w:t>
            </w:r>
          </w:p>
        </w:tc>
        <w:tc>
          <w:tcPr>
            <w:tcW w:w="924"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24"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1069"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24"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r>
      <w:tr w:rsidR="00B23210" w:rsidRPr="00242D6C" w:rsidTr="00242D6C">
        <w:trPr>
          <w:trHeight w:val="256"/>
        </w:trPr>
        <w:tc>
          <w:tcPr>
            <w:tcW w:w="1605" w:type="dxa"/>
            <w:tcBorders>
              <w:top w:val="nil"/>
              <w:left w:val="single" w:sz="4" w:space="0" w:color="auto"/>
              <w:bottom w:val="single" w:sz="4"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3</w:t>
            </w:r>
          </w:p>
        </w:tc>
        <w:tc>
          <w:tcPr>
            <w:tcW w:w="924"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24"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1069"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24"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0,80</w:t>
            </w:r>
          </w:p>
        </w:tc>
      </w:tr>
      <w:tr w:rsidR="00B23210" w:rsidRPr="00242D6C" w:rsidTr="00242D6C">
        <w:trPr>
          <w:trHeight w:val="287"/>
        </w:trPr>
        <w:tc>
          <w:tcPr>
            <w:tcW w:w="1605" w:type="dxa"/>
            <w:tcBorders>
              <w:top w:val="nil"/>
              <w:left w:val="single" w:sz="4" w:space="0" w:color="auto"/>
              <w:bottom w:val="single" w:sz="4"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4</w:t>
            </w:r>
          </w:p>
        </w:tc>
        <w:tc>
          <w:tcPr>
            <w:tcW w:w="924" w:type="dxa"/>
            <w:tcBorders>
              <w:top w:val="nil"/>
              <w:left w:val="single" w:sz="8"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924"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1069"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24"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0,80</w:t>
            </w:r>
          </w:p>
        </w:tc>
        <w:tc>
          <w:tcPr>
            <w:tcW w:w="960" w:type="dxa"/>
            <w:tcBorders>
              <w:top w:val="nil"/>
              <w:left w:val="single" w:sz="4"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r>
      <w:tr w:rsidR="00B23210" w:rsidRPr="00242D6C" w:rsidTr="00242D6C">
        <w:trPr>
          <w:trHeight w:val="70"/>
        </w:trPr>
        <w:tc>
          <w:tcPr>
            <w:tcW w:w="1605" w:type="dxa"/>
            <w:tcBorders>
              <w:top w:val="nil"/>
              <w:left w:val="single" w:sz="4" w:space="0" w:color="auto"/>
              <w:bottom w:val="single" w:sz="4"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5</w:t>
            </w:r>
          </w:p>
        </w:tc>
        <w:tc>
          <w:tcPr>
            <w:tcW w:w="924" w:type="dxa"/>
            <w:tcBorders>
              <w:top w:val="nil"/>
              <w:left w:val="single" w:sz="4" w:space="0" w:color="auto"/>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24"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c>
          <w:tcPr>
            <w:tcW w:w="1069"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24"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0,80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0,40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0,20</w:t>
            </w:r>
          </w:p>
        </w:tc>
        <w:tc>
          <w:tcPr>
            <w:tcW w:w="960" w:type="dxa"/>
            <w:tcBorders>
              <w:top w:val="nil"/>
              <w:left w:val="nil"/>
              <w:bottom w:val="single" w:sz="4"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0,60</w:t>
            </w:r>
          </w:p>
        </w:tc>
      </w:tr>
      <w:tr w:rsidR="00B23210" w:rsidRPr="00242D6C" w:rsidTr="00242D6C">
        <w:trPr>
          <w:trHeight w:val="167"/>
        </w:trPr>
        <w:tc>
          <w:tcPr>
            <w:tcW w:w="1605" w:type="dxa"/>
            <w:tcBorders>
              <w:top w:val="nil"/>
              <w:left w:val="single" w:sz="4" w:space="0" w:color="auto"/>
              <w:bottom w:val="single" w:sz="8" w:space="0" w:color="auto"/>
              <w:right w:val="nil"/>
            </w:tcBorders>
            <w:noWrap/>
            <w:vAlign w:val="bottom"/>
          </w:tcPr>
          <w:p w:rsidR="00B23210" w:rsidRPr="00242D6C" w:rsidRDefault="00B23210" w:rsidP="00242D6C">
            <w:pPr>
              <w:rPr>
                <w:sz w:val="20"/>
                <w:szCs w:val="20"/>
              </w:rPr>
            </w:pPr>
            <w:r w:rsidRPr="00242D6C">
              <w:rPr>
                <w:sz w:val="20"/>
                <w:szCs w:val="20"/>
              </w:rPr>
              <w:t>X</w:t>
            </w:r>
            <w:r w:rsidRPr="00242D6C">
              <w:rPr>
                <w:sz w:val="20"/>
                <w:szCs w:val="20"/>
                <w:vertAlign w:val="subscript"/>
              </w:rPr>
              <w:t>6</w:t>
            </w:r>
          </w:p>
        </w:tc>
        <w:tc>
          <w:tcPr>
            <w:tcW w:w="924" w:type="dxa"/>
            <w:tcBorders>
              <w:top w:val="nil"/>
              <w:left w:val="single" w:sz="8" w:space="0" w:color="auto"/>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24"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1069"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24" w:type="dxa"/>
            <w:tcBorders>
              <w:top w:val="nil"/>
              <w:left w:val="nil"/>
              <w:bottom w:val="single" w:sz="8"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8" w:space="0" w:color="auto"/>
              <w:right w:val="single" w:sz="4"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c>
          <w:tcPr>
            <w:tcW w:w="960" w:type="dxa"/>
            <w:tcBorders>
              <w:top w:val="nil"/>
              <w:left w:val="nil"/>
              <w:bottom w:val="single" w:sz="8" w:space="0" w:color="auto"/>
              <w:right w:val="single" w:sz="8" w:space="0" w:color="auto"/>
            </w:tcBorders>
            <w:noWrap/>
            <w:vAlign w:val="bottom"/>
          </w:tcPr>
          <w:p w:rsidR="00B23210" w:rsidRPr="00242D6C" w:rsidRDefault="00B23210" w:rsidP="00242D6C">
            <w:pPr>
              <w:rPr>
                <w:rFonts w:ascii="Arial CYR" w:hAnsi="Arial CYR" w:cs="Arial CYR"/>
                <w:sz w:val="20"/>
                <w:szCs w:val="20"/>
              </w:rPr>
            </w:pPr>
            <w:r w:rsidRPr="00242D6C">
              <w:rPr>
                <w:rFonts w:ascii="Arial CYR" w:hAnsi="Arial CYR" w:cs="Arial CYR"/>
                <w:sz w:val="20"/>
                <w:szCs w:val="20"/>
              </w:rPr>
              <w:t>0,00</w:t>
            </w:r>
          </w:p>
        </w:tc>
      </w:tr>
    </w:tbl>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ru-RU"/>
        </w:rPr>
      </w:pPr>
      <w:r w:rsidRPr="00242D6C">
        <w:rPr>
          <w:sz w:val="28"/>
          <w:lang w:val="ru-RU"/>
        </w:rPr>
        <w:t>Анализ. Из таблицы следует:</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en-US"/>
        </w:rPr>
        <w:t>X</w:t>
      </w:r>
      <w:r w:rsidRPr="00242D6C">
        <w:rPr>
          <w:sz w:val="28"/>
          <w:vertAlign w:val="subscript"/>
          <w:lang w:val="ru-RU"/>
        </w:rPr>
        <w:t>2</w:t>
      </w:r>
      <w:r w:rsidRPr="00242D6C">
        <w:rPr>
          <w:sz w:val="28"/>
          <w:lang w:val="ru-RU"/>
        </w:rPr>
        <w:t xml:space="preserve"> – признанный коллективом лидер (максимальный положительный индекс </w:t>
      </w:r>
      <w:r w:rsidRPr="00242D6C">
        <w:rPr>
          <w:rFonts w:ascii="Arial CYR" w:hAnsi="Arial CYR" w:cs="Arial CYR"/>
          <w:position w:val="-12"/>
          <w:sz w:val="28"/>
          <w:szCs w:val="20"/>
        </w:rPr>
        <w:object w:dxaOrig="440" w:dyaOrig="380">
          <v:shape id="_x0000_i1047" type="#_x0000_t75" style="width:21.75pt;height:18.75pt" o:ole="">
            <v:imagedata r:id="rId37" o:title=""/>
          </v:shape>
          <o:OLEObject Type="Embed" ProgID="Equation.3" ShapeID="_x0000_i1047" DrawAspect="Content" ObjectID="_1470254303" r:id="rId49"/>
        </w:object>
      </w:r>
      <w:r w:rsidRPr="00242D6C">
        <w:rPr>
          <w:sz w:val="28"/>
          <w:lang w:val="ru-RU"/>
        </w:rPr>
        <w:t>);</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en-US"/>
        </w:rPr>
        <w:t>X</w:t>
      </w:r>
      <w:r w:rsidRPr="00242D6C">
        <w:rPr>
          <w:sz w:val="28"/>
          <w:vertAlign w:val="subscript"/>
          <w:lang w:val="ru-RU"/>
        </w:rPr>
        <w:t>5</w:t>
      </w:r>
      <w:r w:rsidRPr="00242D6C">
        <w:rPr>
          <w:sz w:val="28"/>
          <w:lang w:val="ru-RU"/>
        </w:rPr>
        <w:t xml:space="preserve"> – «изгой» коллектива (минимальный отрицательный индекс</w:t>
      </w:r>
      <w:r w:rsidRPr="00242D6C">
        <w:rPr>
          <w:rFonts w:ascii="Arial CYR" w:hAnsi="Arial CYR" w:cs="Arial CYR"/>
          <w:position w:val="-12"/>
          <w:sz w:val="28"/>
          <w:szCs w:val="20"/>
        </w:rPr>
        <w:object w:dxaOrig="440" w:dyaOrig="380">
          <v:shape id="_x0000_i1048" type="#_x0000_t75" style="width:21.75pt;height:18.75pt" o:ole="">
            <v:imagedata r:id="rId37" o:title=""/>
          </v:shape>
          <o:OLEObject Type="Embed" ProgID="Equation.3" ShapeID="_x0000_i1048" DrawAspect="Content" ObjectID="_1470254304" r:id="rId50"/>
        </w:object>
      </w:r>
      <w:r w:rsidRPr="00242D6C">
        <w:rPr>
          <w:sz w:val="28"/>
          <w:lang w:val="ru-RU"/>
        </w:rPr>
        <w:t xml:space="preserve">); </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en-US"/>
        </w:rPr>
        <w:t>X</w:t>
      </w:r>
      <w:r w:rsidRPr="00242D6C">
        <w:rPr>
          <w:sz w:val="28"/>
          <w:vertAlign w:val="subscript"/>
          <w:lang w:val="ru-RU"/>
        </w:rPr>
        <w:t>6</w:t>
      </w:r>
      <w:r w:rsidRPr="00242D6C">
        <w:rPr>
          <w:sz w:val="28"/>
          <w:lang w:val="ru-RU"/>
        </w:rPr>
        <w:t xml:space="preserve"> – изолированный член коллектива: всем безразличен и сам безразличен ко всем (нулевые социоиндексы статуса и активности);</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en-US"/>
        </w:rPr>
        <w:t>X</w:t>
      </w:r>
      <w:r w:rsidRPr="00242D6C">
        <w:rPr>
          <w:sz w:val="28"/>
          <w:vertAlign w:val="subscript"/>
          <w:lang w:val="ru-RU"/>
        </w:rPr>
        <w:t>4</w:t>
      </w:r>
      <w:r w:rsidRPr="00242D6C">
        <w:rPr>
          <w:sz w:val="28"/>
          <w:lang w:val="ru-RU"/>
        </w:rPr>
        <w:t xml:space="preserve">, </w:t>
      </w:r>
      <w:r w:rsidRPr="00242D6C">
        <w:rPr>
          <w:sz w:val="28"/>
          <w:lang w:val="en-US"/>
        </w:rPr>
        <w:t>X</w:t>
      </w:r>
      <w:r w:rsidRPr="00242D6C">
        <w:rPr>
          <w:sz w:val="28"/>
          <w:vertAlign w:val="subscript"/>
          <w:lang w:val="ru-RU"/>
        </w:rPr>
        <w:t>5</w:t>
      </w:r>
      <w:r w:rsidRPr="00242D6C">
        <w:rPr>
          <w:sz w:val="28"/>
          <w:lang w:val="ru-RU"/>
        </w:rPr>
        <w:t xml:space="preserve"> вызывают наибольший интерес коллектива (максимальный индекс </w:t>
      </w:r>
      <w:r w:rsidRPr="00242D6C">
        <w:rPr>
          <w:rFonts w:ascii="Arial CYR" w:hAnsi="Arial CYR" w:cs="Arial CYR"/>
          <w:position w:val="-12"/>
          <w:sz w:val="28"/>
          <w:szCs w:val="20"/>
        </w:rPr>
        <w:object w:dxaOrig="279" w:dyaOrig="360">
          <v:shape id="_x0000_i1049" type="#_x0000_t75" style="width:14.25pt;height:18pt" o:ole="">
            <v:imagedata r:id="rId39" o:title=""/>
          </v:shape>
          <o:OLEObject Type="Embed" ProgID="Equation.3" ShapeID="_x0000_i1049" DrawAspect="Content" ObjectID="_1470254305" r:id="rId51"/>
        </w:object>
      </w:r>
      <w:r w:rsidRPr="00242D6C">
        <w:rPr>
          <w:sz w:val="28"/>
          <w:lang w:val="ru-RU"/>
        </w:rPr>
        <w:t>);</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en-US"/>
        </w:rPr>
        <w:t>X</w:t>
      </w:r>
      <w:r w:rsidRPr="00242D6C">
        <w:rPr>
          <w:sz w:val="28"/>
          <w:vertAlign w:val="subscript"/>
          <w:lang w:val="ru-RU"/>
        </w:rPr>
        <w:t>1</w:t>
      </w:r>
      <w:r w:rsidRPr="00242D6C">
        <w:rPr>
          <w:sz w:val="28"/>
          <w:lang w:val="ru-RU"/>
        </w:rPr>
        <w:t xml:space="preserve">, </w:t>
      </w:r>
      <w:r w:rsidRPr="00242D6C">
        <w:rPr>
          <w:sz w:val="28"/>
          <w:lang w:val="en-US"/>
        </w:rPr>
        <w:t>X</w:t>
      </w:r>
      <w:r w:rsidRPr="00242D6C">
        <w:rPr>
          <w:sz w:val="28"/>
          <w:vertAlign w:val="subscript"/>
          <w:lang w:val="ru-RU"/>
        </w:rPr>
        <w:t>3</w:t>
      </w:r>
      <w:r w:rsidRPr="00242D6C">
        <w:rPr>
          <w:sz w:val="28"/>
          <w:lang w:val="ru-RU"/>
        </w:rPr>
        <w:t xml:space="preserve"> социально наиболее активны (максимальный социоиндекс </w:t>
      </w:r>
      <w:r w:rsidRPr="00242D6C">
        <w:rPr>
          <w:rFonts w:ascii="Arial CYR" w:hAnsi="Arial CYR" w:cs="Arial CYR"/>
          <w:position w:val="-12"/>
          <w:sz w:val="28"/>
          <w:szCs w:val="20"/>
        </w:rPr>
        <w:object w:dxaOrig="320" w:dyaOrig="380">
          <v:shape id="_x0000_i1050" type="#_x0000_t75" style="width:15.75pt;height:18.75pt" o:ole="">
            <v:imagedata r:id="rId47" o:title=""/>
          </v:shape>
          <o:OLEObject Type="Embed" ProgID="Equation.3" ShapeID="_x0000_i1050" DrawAspect="Content" ObjectID="_1470254306" r:id="rId52"/>
        </w:object>
      </w:r>
      <w:r w:rsidRPr="00242D6C">
        <w:rPr>
          <w:sz w:val="28"/>
          <w:lang w:val="ru-RU"/>
        </w:rPr>
        <w:t xml:space="preserve">), и причем </w:t>
      </w:r>
      <w:r w:rsidRPr="00242D6C">
        <w:rPr>
          <w:sz w:val="28"/>
          <w:lang w:val="en-US"/>
        </w:rPr>
        <w:t>X</w:t>
      </w:r>
      <w:r w:rsidRPr="00242D6C">
        <w:rPr>
          <w:sz w:val="28"/>
          <w:vertAlign w:val="subscript"/>
          <w:lang w:val="ru-RU"/>
        </w:rPr>
        <w:t>3</w:t>
      </w:r>
      <w:r w:rsidRPr="00242D6C">
        <w:rPr>
          <w:sz w:val="28"/>
          <w:lang w:val="ru-RU"/>
        </w:rPr>
        <w:t xml:space="preserve"> наиболее благожелателен к коллегам (максимальный положительный индекс </w:t>
      </w:r>
      <w:r w:rsidRPr="00242D6C">
        <w:rPr>
          <w:rFonts w:ascii="Arial CYR" w:hAnsi="Arial CYR" w:cs="Arial CYR"/>
          <w:position w:val="-12"/>
          <w:sz w:val="28"/>
          <w:szCs w:val="20"/>
        </w:rPr>
        <w:object w:dxaOrig="420" w:dyaOrig="380">
          <v:shape id="_x0000_i1051" type="#_x0000_t75" style="width:21pt;height:18.75pt" o:ole="">
            <v:imagedata r:id="rId45" o:title=""/>
          </v:shape>
          <o:OLEObject Type="Embed" ProgID="Equation.3" ShapeID="_x0000_i1051" DrawAspect="Content" ObjectID="_1470254307" r:id="rId53"/>
        </w:object>
      </w:r>
      <w:r w:rsidRPr="00242D6C">
        <w:rPr>
          <w:sz w:val="28"/>
          <w:lang w:val="ru-RU"/>
        </w:rPr>
        <w:t>);</w:t>
      </w:r>
    </w:p>
    <w:p w:rsidR="00B23210" w:rsidRPr="00242D6C" w:rsidRDefault="00B23210" w:rsidP="00242D6C">
      <w:pPr>
        <w:numPr>
          <w:ilvl w:val="0"/>
          <w:numId w:val="10"/>
        </w:numPr>
        <w:spacing w:line="360" w:lineRule="auto"/>
        <w:ind w:left="0" w:firstLine="709"/>
        <w:jc w:val="both"/>
        <w:rPr>
          <w:sz w:val="28"/>
          <w:lang w:val="ru-RU"/>
        </w:rPr>
      </w:pPr>
      <w:r w:rsidRPr="00242D6C">
        <w:rPr>
          <w:sz w:val="28"/>
          <w:lang w:val="ru-RU"/>
        </w:rPr>
        <w:t xml:space="preserve">Коллектив более – менее устойчив (нет отрицательных индексов </w:t>
      </w:r>
      <w:r w:rsidRPr="00242D6C">
        <w:rPr>
          <w:rFonts w:ascii="Arial CYR" w:hAnsi="Arial CYR" w:cs="Arial CYR"/>
          <w:position w:val="-12"/>
          <w:sz w:val="28"/>
          <w:szCs w:val="20"/>
        </w:rPr>
        <w:object w:dxaOrig="420" w:dyaOrig="380">
          <v:shape id="_x0000_i1052" type="#_x0000_t75" style="width:21pt;height:18.75pt" o:ole="">
            <v:imagedata r:id="rId45" o:title=""/>
          </v:shape>
          <o:OLEObject Type="Embed" ProgID="Equation.3" ShapeID="_x0000_i1052" DrawAspect="Content" ObjectID="_1470254308" r:id="rId54"/>
        </w:object>
      </w:r>
      <w:r w:rsidRPr="00242D6C">
        <w:rPr>
          <w:sz w:val="28"/>
          <w:lang w:val="ru-RU"/>
        </w:rPr>
        <w:t>), хотя к отдельным персонам (</w:t>
      </w:r>
      <w:r w:rsidRPr="00242D6C">
        <w:rPr>
          <w:sz w:val="28"/>
          <w:lang w:val="en-US"/>
        </w:rPr>
        <w:t>X</w:t>
      </w:r>
      <w:r w:rsidRPr="00242D6C">
        <w:rPr>
          <w:sz w:val="28"/>
          <w:vertAlign w:val="subscript"/>
          <w:lang w:val="ru-RU"/>
        </w:rPr>
        <w:t>1</w:t>
      </w:r>
      <w:r w:rsidRPr="00242D6C">
        <w:rPr>
          <w:sz w:val="28"/>
          <w:lang w:val="ru-RU"/>
        </w:rPr>
        <w:t xml:space="preserve">, </w:t>
      </w:r>
      <w:r w:rsidRPr="00242D6C">
        <w:rPr>
          <w:sz w:val="28"/>
          <w:lang w:val="en-US"/>
        </w:rPr>
        <w:t>X</w:t>
      </w:r>
      <w:r w:rsidRPr="00242D6C">
        <w:rPr>
          <w:sz w:val="28"/>
          <w:vertAlign w:val="subscript"/>
          <w:lang w:val="ru-RU"/>
        </w:rPr>
        <w:t>5</w:t>
      </w:r>
      <w:r w:rsidRPr="00242D6C">
        <w:rPr>
          <w:sz w:val="28"/>
          <w:lang w:val="ru-RU"/>
        </w:rPr>
        <w:t xml:space="preserve">) отношение в целом негативное (отрицательные индексы </w:t>
      </w:r>
      <w:r w:rsidRPr="00242D6C">
        <w:rPr>
          <w:rFonts w:ascii="Arial CYR" w:hAnsi="Arial CYR" w:cs="Arial CYR"/>
          <w:position w:val="-12"/>
          <w:sz w:val="28"/>
          <w:szCs w:val="20"/>
        </w:rPr>
        <w:object w:dxaOrig="440" w:dyaOrig="380">
          <v:shape id="_x0000_i1053" type="#_x0000_t75" style="width:21.75pt;height:18.75pt" o:ole="">
            <v:imagedata r:id="rId37" o:title=""/>
          </v:shape>
          <o:OLEObject Type="Embed" ProgID="Equation.3" ShapeID="_x0000_i1053" DrawAspect="Content" ObjectID="_1470254309" r:id="rId55"/>
        </w:objec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sz w:val="28"/>
          <w:lang w:val="ru-RU"/>
        </w:rPr>
        <w:t xml:space="preserve"> Произведенный анализ носит чисто формальный характер. Для подготовки рекомендаций, на основе которых должны быть приняты ответственные решения, социологу необходимо вникнуть в подоплеку полученных социоиндексов. Так, лидерство </w:t>
      </w:r>
      <w:r w:rsidRPr="00242D6C">
        <w:rPr>
          <w:sz w:val="28"/>
          <w:lang w:val="en-US"/>
        </w:rPr>
        <w:t>X</w:t>
      </w:r>
      <w:r w:rsidRPr="00242D6C">
        <w:rPr>
          <w:sz w:val="28"/>
          <w:vertAlign w:val="subscript"/>
          <w:lang w:val="ru-RU"/>
        </w:rPr>
        <w:t>2</w:t>
      </w:r>
      <w:r w:rsidRPr="00242D6C">
        <w:rPr>
          <w:sz w:val="28"/>
          <w:lang w:val="ru-RU"/>
        </w:rPr>
        <w:t xml:space="preserve"> может быть обусловлено тем, что данная персона – «свой парень». Но свой парень – не профессия. Профессионал, достойный лидерства, может иметь недоброжелателей и даже врагов. «Активисты» могут оказаться крикунами и демагогами с нарушенной психикой. Иными словами, напоминаем, что в отрыве от гуманитарного подхода математико–статистический подход в социологии непродуктивен, а иногда просто опасен.</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i/>
          <w:iCs/>
          <w:sz w:val="28"/>
          <w:lang w:val="en-US"/>
        </w:rPr>
      </w:pPr>
      <w:r w:rsidRPr="00242D6C">
        <w:rPr>
          <w:i/>
          <w:iCs/>
          <w:sz w:val="28"/>
          <w:lang w:val="ru-RU"/>
        </w:rPr>
        <w:t>Групповые социоиндексы.</w:t>
      </w:r>
    </w:p>
    <w:p w:rsidR="00487930" w:rsidRPr="00242D6C" w:rsidRDefault="00487930" w:rsidP="00242D6C">
      <w:pPr>
        <w:spacing w:line="360" w:lineRule="auto"/>
        <w:ind w:firstLine="709"/>
        <w:jc w:val="both"/>
        <w:rPr>
          <w:i/>
          <w:iCs/>
          <w:sz w:val="28"/>
          <w:lang w:val="en-US"/>
        </w:rPr>
      </w:pPr>
    </w:p>
    <w:p w:rsidR="00B23210" w:rsidRPr="00242D6C" w:rsidRDefault="00B23210" w:rsidP="00242D6C">
      <w:pPr>
        <w:spacing w:line="360" w:lineRule="auto"/>
        <w:ind w:firstLine="709"/>
        <w:jc w:val="both"/>
        <w:rPr>
          <w:sz w:val="28"/>
          <w:lang w:val="ru-RU"/>
        </w:rPr>
      </w:pPr>
      <w:r w:rsidRPr="00242D6C">
        <w:rPr>
          <w:b/>
          <w:sz w:val="28"/>
          <w:lang w:val="ru-RU"/>
        </w:rPr>
        <w:t>Индекс связанности (когерентности</w:t>
      </w:r>
      <w:r w:rsidRPr="00242D6C">
        <w:rPr>
          <w:sz w:val="28"/>
          <w:lang w:val="ru-RU"/>
        </w:rPr>
        <w:t>) Г</w:t>
      </w:r>
      <w:r w:rsidRPr="00242D6C">
        <w:rPr>
          <w:sz w:val="28"/>
          <w:vertAlign w:val="subscript"/>
          <w:lang w:val="ru-RU"/>
        </w:rPr>
        <w:t>С</w:t>
      </w:r>
      <w:r w:rsidRPr="00242D6C">
        <w:rPr>
          <w:sz w:val="28"/>
          <w:lang w:val="ru-RU"/>
        </w:rPr>
        <w:t xml:space="preserve"> характеризует степень неравнодушного отношения членов группы друг к другу. Количественно он определяется как отношение суммарного числа выборов </w:t>
      </w:r>
      <w:r w:rsidRPr="00242D6C">
        <w:rPr>
          <w:position w:val="-4"/>
          <w:sz w:val="28"/>
          <w:lang w:val="ru-RU"/>
        </w:rPr>
        <w:object w:dxaOrig="340" w:dyaOrig="300">
          <v:shape id="_x0000_i1054" type="#_x0000_t75" style="width:17.25pt;height:15pt" o:ole="">
            <v:imagedata r:id="rId56" o:title=""/>
          </v:shape>
          <o:OLEObject Type="Embed" ProgID="Equation.3" ShapeID="_x0000_i1054" DrawAspect="Content" ObjectID="_1470254310" r:id="rId57"/>
        </w:object>
      </w:r>
      <w:r w:rsidRPr="00242D6C">
        <w:rPr>
          <w:sz w:val="28"/>
          <w:lang w:val="ru-RU"/>
        </w:rPr>
        <w:t xml:space="preserve">, сделанных членами группы, к потенциальному числу выборов </w:t>
      </w:r>
      <w:r w:rsidRPr="00242D6C">
        <w:rPr>
          <w:sz w:val="28"/>
          <w:lang w:val="en-US"/>
        </w:rPr>
        <w:t>N</w:t>
      </w:r>
      <w:r w:rsidRPr="00242D6C">
        <w:rPr>
          <w:sz w:val="28"/>
          <w:lang w:val="ru-RU"/>
        </w:rPr>
        <w:t>(</w:t>
      </w:r>
      <w:r w:rsidRPr="00242D6C">
        <w:rPr>
          <w:sz w:val="28"/>
          <w:lang w:val="en-US"/>
        </w:rPr>
        <w:t>N</w:t>
      </w:r>
      <w:r w:rsidRPr="00242D6C">
        <w:rPr>
          <w:sz w:val="28"/>
          <w:lang w:val="ru-RU"/>
        </w:rPr>
        <w:t>-1):</w:t>
      </w:r>
    </w:p>
    <w:p w:rsidR="00B23210" w:rsidRPr="00242D6C" w:rsidRDefault="00B23210" w:rsidP="00242D6C">
      <w:pPr>
        <w:spacing w:line="360" w:lineRule="auto"/>
        <w:ind w:firstLine="709"/>
        <w:jc w:val="both"/>
        <w:rPr>
          <w:sz w:val="28"/>
          <w:lang w:val="en-US"/>
        </w:rPr>
      </w:pPr>
      <w:r w:rsidRPr="00242D6C">
        <w:rPr>
          <w:position w:val="-12"/>
          <w:sz w:val="28"/>
          <w:lang w:val="en-US"/>
        </w:rPr>
        <w:object w:dxaOrig="2040" w:dyaOrig="380">
          <v:shape id="_x0000_i1055" type="#_x0000_t75" style="width:102pt;height:18.75pt" o:ole="">
            <v:imagedata r:id="rId58" o:title=""/>
          </v:shape>
          <o:OLEObject Type="Embed" ProgID="Equation.3" ShapeID="_x0000_i1055" DrawAspect="Content" ObjectID="_1470254311" r:id="rId59"/>
        </w:object>
      </w:r>
    </w:p>
    <w:p w:rsidR="00B23210" w:rsidRPr="00242D6C" w:rsidRDefault="00B23210" w:rsidP="00242D6C">
      <w:pPr>
        <w:spacing w:line="360" w:lineRule="auto"/>
        <w:ind w:firstLine="709"/>
        <w:jc w:val="both"/>
        <w:rPr>
          <w:sz w:val="28"/>
          <w:lang w:val="ru-RU"/>
        </w:rPr>
      </w:pPr>
      <w:r w:rsidRPr="00242D6C">
        <w:rPr>
          <w:sz w:val="28"/>
          <w:lang w:val="ru-RU"/>
        </w:rPr>
        <w:t xml:space="preserve">Здесь </w:t>
      </w:r>
      <w:r w:rsidRPr="00242D6C">
        <w:rPr>
          <w:sz w:val="28"/>
          <w:lang w:val="en-US"/>
        </w:rPr>
        <w:t>N</w:t>
      </w:r>
      <w:r w:rsidRPr="00242D6C">
        <w:rPr>
          <w:sz w:val="28"/>
          <w:lang w:val="ru-RU"/>
        </w:rPr>
        <w:t>(</w:t>
      </w:r>
      <w:r w:rsidRPr="00242D6C">
        <w:rPr>
          <w:sz w:val="28"/>
          <w:lang w:val="en-US"/>
        </w:rPr>
        <w:t>N</w:t>
      </w:r>
      <w:r w:rsidRPr="00242D6C">
        <w:rPr>
          <w:sz w:val="28"/>
          <w:lang w:val="ru-RU"/>
        </w:rPr>
        <w:t>-1) получено как число элементов социоматрицы (</w:t>
      </w:r>
      <w:r w:rsidRPr="00242D6C">
        <w:rPr>
          <w:sz w:val="28"/>
          <w:lang w:val="en-US"/>
        </w:rPr>
        <w:t>N</w:t>
      </w:r>
      <w:r w:rsidRPr="00242D6C">
        <w:rPr>
          <w:sz w:val="28"/>
          <w:vertAlign w:val="superscript"/>
          <w:lang w:val="ru-RU"/>
        </w:rPr>
        <w:t>2</w:t>
      </w:r>
      <w:r w:rsidRPr="00242D6C">
        <w:rPr>
          <w:sz w:val="28"/>
          <w:lang w:val="ru-RU"/>
        </w:rPr>
        <w:t>) минус число диагональных элементов (</w:t>
      </w:r>
      <w:r w:rsidRPr="00242D6C">
        <w:rPr>
          <w:sz w:val="28"/>
          <w:lang w:val="en-US"/>
        </w:rPr>
        <w:t>N</w: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sz w:val="28"/>
          <w:lang w:val="ru-RU"/>
        </w:rPr>
        <w:t>Из формул следует, что индекс Г</w:t>
      </w:r>
      <w:r w:rsidRPr="00242D6C">
        <w:rPr>
          <w:sz w:val="28"/>
          <w:vertAlign w:val="subscript"/>
          <w:lang w:val="ru-RU"/>
        </w:rPr>
        <w:t>С</w:t>
      </w:r>
      <w:r w:rsidRPr="00242D6C">
        <w:rPr>
          <w:sz w:val="28"/>
          <w:lang w:val="ru-RU"/>
        </w:rPr>
        <w:t xml:space="preserve"> представляет собой среднее арифметическое общих индексов С</w:t>
      </w:r>
      <w:r w:rsidRPr="00242D6C">
        <w:rPr>
          <w:sz w:val="28"/>
          <w:vertAlign w:val="subscript"/>
          <w:lang w:val="en-US"/>
        </w:rPr>
        <w:t>i</w:t>
      </w:r>
      <w:r w:rsidRPr="00242D6C">
        <w:rPr>
          <w:sz w:val="28"/>
          <w:lang w:val="ru-RU"/>
        </w:rPr>
        <w:t xml:space="preserve"> или  Э</w:t>
      </w:r>
      <w:r w:rsidRPr="00242D6C">
        <w:rPr>
          <w:sz w:val="28"/>
          <w:vertAlign w:val="subscript"/>
          <w:lang w:val="en-US"/>
        </w:rPr>
        <w:t>i</w:t>
      </w:r>
      <w:r w:rsidRPr="00242D6C">
        <w:rPr>
          <w:sz w:val="28"/>
          <w:vertAlign w:val="subscript"/>
          <w:lang w:val="ru-RU"/>
        </w:rPr>
        <w:t xml:space="preserve"> | </w:t>
      </w:r>
      <w:r w:rsidRPr="00242D6C">
        <w:rPr>
          <w:sz w:val="28"/>
          <w:vertAlign w:val="subscript"/>
          <w:lang w:val="en-US"/>
        </w:rPr>
        <w:t>i</w:t>
      </w:r>
      <w:r w:rsidRPr="00242D6C">
        <w:rPr>
          <w:sz w:val="28"/>
          <w:vertAlign w:val="subscript"/>
          <w:lang w:val="ru-RU"/>
        </w:rPr>
        <w:t>=1…</w:t>
      </w:r>
      <w:r w:rsidRPr="00242D6C">
        <w:rPr>
          <w:sz w:val="28"/>
          <w:vertAlign w:val="subscript"/>
          <w:lang w:val="en-US"/>
        </w:rPr>
        <w:t>N</w:t>
      </w:r>
      <w:r w:rsidRPr="00242D6C">
        <w:rPr>
          <w:sz w:val="28"/>
          <w:vertAlign w:val="subscript"/>
          <w:lang w:val="ru-RU"/>
        </w:rPr>
        <w:t xml:space="preserve"> </w:t>
      </w:r>
      <w:r w:rsidRPr="00242D6C">
        <w:rPr>
          <w:sz w:val="28"/>
          <w:lang w:val="ru-RU"/>
        </w:rPr>
        <w:t>:</w:t>
      </w:r>
    </w:p>
    <w:p w:rsidR="00B23210" w:rsidRPr="00242D6C" w:rsidRDefault="00B23210" w:rsidP="00242D6C">
      <w:pPr>
        <w:spacing w:line="360" w:lineRule="auto"/>
        <w:ind w:firstLine="709"/>
        <w:jc w:val="both"/>
        <w:rPr>
          <w:sz w:val="28"/>
          <w:lang w:val="en-US"/>
        </w:rPr>
      </w:pPr>
      <w:r w:rsidRPr="00242D6C">
        <w:rPr>
          <w:position w:val="-28"/>
          <w:sz w:val="28"/>
          <w:lang w:val="ru-RU"/>
        </w:rPr>
        <w:object w:dxaOrig="2520" w:dyaOrig="680">
          <v:shape id="_x0000_i1056" type="#_x0000_t75" style="width:126pt;height:33.75pt" o:ole="">
            <v:imagedata r:id="rId60" o:title=""/>
          </v:shape>
          <o:OLEObject Type="Embed" ProgID="Equation.3" ShapeID="_x0000_i1056" DrawAspect="Content" ObjectID="_1470254312" r:id="rId61"/>
        </w:object>
      </w:r>
    </w:p>
    <w:p w:rsidR="00B23210" w:rsidRPr="00242D6C" w:rsidRDefault="00B23210" w:rsidP="00242D6C">
      <w:pPr>
        <w:spacing w:line="360" w:lineRule="auto"/>
        <w:ind w:firstLine="709"/>
        <w:jc w:val="both"/>
        <w:rPr>
          <w:sz w:val="28"/>
          <w:lang w:val="en-US"/>
        </w:rPr>
      </w:pPr>
    </w:p>
    <w:p w:rsidR="00B23210" w:rsidRPr="00242D6C" w:rsidRDefault="00B23210" w:rsidP="00242D6C">
      <w:pPr>
        <w:spacing w:line="360" w:lineRule="auto"/>
        <w:ind w:firstLine="709"/>
        <w:jc w:val="both"/>
        <w:rPr>
          <w:sz w:val="28"/>
          <w:lang w:val="ru-RU"/>
        </w:rPr>
      </w:pPr>
      <w:r w:rsidRPr="00242D6C">
        <w:rPr>
          <w:b/>
          <w:sz w:val="28"/>
          <w:lang w:val="ru-RU"/>
        </w:rPr>
        <w:t>Индекс взаимосвязанности (сплоченности)</w:t>
      </w:r>
      <w:r w:rsidRPr="00242D6C">
        <w:rPr>
          <w:sz w:val="28"/>
          <w:lang w:val="ru-RU"/>
        </w:rPr>
        <w:t xml:space="preserve"> Г</w:t>
      </w:r>
      <w:r w:rsidRPr="00242D6C">
        <w:rPr>
          <w:sz w:val="28"/>
          <w:vertAlign w:val="subscript"/>
          <w:lang w:val="ru-RU"/>
        </w:rPr>
        <w:t>В</w:t>
      </w:r>
      <w:r w:rsidRPr="00242D6C">
        <w:rPr>
          <w:sz w:val="28"/>
          <w:lang w:val="ru-RU"/>
        </w:rPr>
        <w:t xml:space="preserve"> характеризует степень взаимного позитивного отношения членов группы друг к другу. Количественно он определяется как отношение суммарного числа взаимосвязанных положительных выборов </w:t>
      </w:r>
      <w:r w:rsidRPr="00242D6C">
        <w:rPr>
          <w:position w:val="-12"/>
          <w:sz w:val="28"/>
          <w:lang w:val="ru-RU"/>
        </w:rPr>
        <w:object w:dxaOrig="480" w:dyaOrig="380">
          <v:shape id="_x0000_i1057" type="#_x0000_t75" style="width:24pt;height:18.75pt" o:ole="">
            <v:imagedata r:id="rId62" o:title=""/>
          </v:shape>
          <o:OLEObject Type="Embed" ProgID="Equation.3" ShapeID="_x0000_i1057" DrawAspect="Content" ObjectID="_1470254313" r:id="rId63"/>
        </w:object>
      </w:r>
      <w:r w:rsidRPr="00242D6C">
        <w:rPr>
          <w:sz w:val="28"/>
          <w:lang w:val="ru-RU"/>
        </w:rPr>
        <w:t xml:space="preserve"> к потенциальному числу выборов </w:t>
      </w:r>
      <w:r w:rsidRPr="00242D6C">
        <w:rPr>
          <w:sz w:val="28"/>
          <w:lang w:val="en-US"/>
        </w:rPr>
        <w:t>N</w:t>
      </w:r>
      <w:r w:rsidRPr="00242D6C">
        <w:rPr>
          <w:sz w:val="28"/>
          <w:lang w:val="ru-RU"/>
        </w:rPr>
        <w:t>(</w:t>
      </w:r>
      <w:r w:rsidRPr="00242D6C">
        <w:rPr>
          <w:sz w:val="28"/>
          <w:lang w:val="en-US"/>
        </w:rPr>
        <w:t>N</w:t>
      </w:r>
      <w:r w:rsidRPr="00242D6C">
        <w:rPr>
          <w:sz w:val="28"/>
          <w:lang w:val="ru-RU"/>
        </w:rPr>
        <w:t>-1):</w:t>
      </w:r>
    </w:p>
    <w:p w:rsidR="00B23210" w:rsidRPr="00242D6C" w:rsidRDefault="00B23210" w:rsidP="00242D6C">
      <w:pPr>
        <w:spacing w:line="360" w:lineRule="auto"/>
        <w:ind w:firstLine="709"/>
        <w:jc w:val="both"/>
        <w:rPr>
          <w:sz w:val="28"/>
          <w:lang w:val="en-US"/>
        </w:rPr>
      </w:pPr>
      <w:r w:rsidRPr="00242D6C">
        <w:rPr>
          <w:position w:val="-12"/>
          <w:sz w:val="28"/>
          <w:lang w:val="en-US"/>
        </w:rPr>
        <w:object w:dxaOrig="2120" w:dyaOrig="380">
          <v:shape id="_x0000_i1058" type="#_x0000_t75" style="width:105.75pt;height:18.75pt" o:ole="">
            <v:imagedata r:id="rId64" o:title=""/>
          </v:shape>
          <o:OLEObject Type="Embed" ProgID="Equation.3" ShapeID="_x0000_i1058" DrawAspect="Content" ObjectID="_1470254314" r:id="rId65"/>
        </w:object>
      </w:r>
    </w:p>
    <w:p w:rsidR="00B23210" w:rsidRPr="00242D6C" w:rsidRDefault="00B23210" w:rsidP="00242D6C">
      <w:pPr>
        <w:spacing w:line="360" w:lineRule="auto"/>
        <w:ind w:firstLine="709"/>
        <w:jc w:val="both"/>
        <w:rPr>
          <w:sz w:val="28"/>
          <w:lang w:val="en-US"/>
        </w:rPr>
      </w:pPr>
    </w:p>
    <w:p w:rsidR="00B23210" w:rsidRPr="00242D6C" w:rsidRDefault="00B23210" w:rsidP="00242D6C">
      <w:pPr>
        <w:spacing w:line="360" w:lineRule="auto"/>
        <w:ind w:firstLine="709"/>
        <w:jc w:val="both"/>
        <w:rPr>
          <w:sz w:val="28"/>
          <w:lang w:val="ru-RU"/>
        </w:rPr>
      </w:pPr>
      <w:r w:rsidRPr="00242D6C">
        <w:rPr>
          <w:b/>
          <w:sz w:val="28"/>
          <w:lang w:val="ru-RU"/>
        </w:rPr>
        <w:t xml:space="preserve">Индекс референтности </w:t>
      </w:r>
      <w:r w:rsidRPr="00242D6C">
        <w:rPr>
          <w:sz w:val="28"/>
          <w:lang w:val="ru-RU"/>
        </w:rPr>
        <w:t>Г</w:t>
      </w:r>
      <w:r w:rsidRPr="00242D6C">
        <w:rPr>
          <w:sz w:val="28"/>
          <w:vertAlign w:val="subscript"/>
          <w:lang w:val="ru-RU"/>
        </w:rPr>
        <w:t>Р</w:t>
      </w:r>
      <w:r w:rsidRPr="00242D6C">
        <w:rPr>
          <w:sz w:val="28"/>
          <w:lang w:val="ru-RU"/>
        </w:rPr>
        <w:t xml:space="preserve"> – частный случай индекса взаимности. Количественно индекс Г</w:t>
      </w:r>
      <w:r w:rsidRPr="00242D6C">
        <w:rPr>
          <w:sz w:val="28"/>
          <w:vertAlign w:val="subscript"/>
          <w:lang w:val="ru-RU"/>
        </w:rPr>
        <w:t>Р</w:t>
      </w:r>
      <w:r w:rsidRPr="00242D6C">
        <w:rPr>
          <w:sz w:val="28"/>
          <w:lang w:val="ru-RU"/>
        </w:rPr>
        <w:t xml:space="preserve"> отличается от индекса Г</w:t>
      </w:r>
      <w:r w:rsidRPr="00242D6C">
        <w:rPr>
          <w:sz w:val="28"/>
          <w:vertAlign w:val="subscript"/>
          <w:lang w:val="ru-RU"/>
        </w:rPr>
        <w:t>В</w:t>
      </w:r>
      <w:r w:rsidRPr="00242D6C">
        <w:rPr>
          <w:sz w:val="28"/>
          <w:lang w:val="ru-RU"/>
        </w:rPr>
        <w:t xml:space="preserve"> тем, что в знаменатель вместо потенциального числа выборов подставляется число положительных выборов </w:t>
      </w:r>
      <w:r w:rsidRPr="00242D6C">
        <w:rPr>
          <w:position w:val="-4"/>
          <w:sz w:val="28"/>
          <w:lang w:val="ru-RU"/>
        </w:rPr>
        <w:object w:dxaOrig="340" w:dyaOrig="300">
          <v:shape id="_x0000_i1059" type="#_x0000_t75" style="width:17.25pt;height:15pt" o:ole="">
            <v:imagedata r:id="rId66" o:title=""/>
          </v:shape>
          <o:OLEObject Type="Embed" ProgID="Equation.3" ShapeID="_x0000_i1059" DrawAspect="Content" ObjectID="_1470254315" r:id="rId67"/>
        </w:object>
      </w:r>
      <w:r w:rsidRPr="00242D6C">
        <w:rPr>
          <w:sz w:val="28"/>
          <w:lang w:val="ru-RU"/>
        </w:rPr>
        <w:t>:</w:t>
      </w:r>
    </w:p>
    <w:p w:rsidR="00B23210" w:rsidRPr="00242D6C" w:rsidRDefault="00B23210" w:rsidP="00242D6C">
      <w:pPr>
        <w:spacing w:line="360" w:lineRule="auto"/>
        <w:ind w:firstLine="709"/>
        <w:jc w:val="both"/>
        <w:rPr>
          <w:sz w:val="28"/>
          <w:lang w:val="en-US"/>
        </w:rPr>
      </w:pPr>
      <w:r w:rsidRPr="00242D6C">
        <w:rPr>
          <w:position w:val="-12"/>
          <w:sz w:val="28"/>
          <w:lang w:val="en-US"/>
        </w:rPr>
        <w:object w:dxaOrig="1460" w:dyaOrig="380">
          <v:shape id="_x0000_i1060" type="#_x0000_t75" style="width:72.75pt;height:18.75pt" o:ole="">
            <v:imagedata r:id="rId68" o:title=""/>
          </v:shape>
          <o:OLEObject Type="Embed" ProgID="Equation.3" ShapeID="_x0000_i1060" DrawAspect="Content" ObjectID="_1470254316" r:id="rId69"/>
        </w:object>
      </w:r>
    </w:p>
    <w:p w:rsidR="00B23210" w:rsidRPr="00242D6C" w:rsidRDefault="00B23210" w:rsidP="00242D6C">
      <w:pPr>
        <w:spacing w:line="360" w:lineRule="auto"/>
        <w:ind w:firstLine="709"/>
        <w:jc w:val="both"/>
        <w:rPr>
          <w:sz w:val="28"/>
          <w:lang w:val="en-US"/>
        </w:rPr>
      </w:pPr>
    </w:p>
    <w:p w:rsidR="00B23210" w:rsidRPr="00242D6C" w:rsidRDefault="00B23210" w:rsidP="00242D6C">
      <w:pPr>
        <w:spacing w:line="360" w:lineRule="auto"/>
        <w:ind w:firstLine="709"/>
        <w:jc w:val="both"/>
        <w:rPr>
          <w:sz w:val="28"/>
          <w:lang w:val="ru-RU"/>
        </w:rPr>
      </w:pPr>
      <w:r w:rsidRPr="00242D6C">
        <w:rPr>
          <w:sz w:val="28"/>
          <w:lang w:val="ru-RU"/>
        </w:rPr>
        <w:t xml:space="preserve">Поскольку </w:t>
      </w:r>
      <w:r w:rsidRPr="00242D6C">
        <w:rPr>
          <w:position w:val="-10"/>
          <w:sz w:val="28"/>
          <w:lang w:val="ru-RU"/>
        </w:rPr>
        <w:object w:dxaOrig="2439" w:dyaOrig="360">
          <v:shape id="_x0000_i1061" type="#_x0000_t75" style="width:122.25pt;height:18pt" o:ole="">
            <v:imagedata r:id="rId70" o:title=""/>
          </v:shape>
          <o:OLEObject Type="Embed" ProgID="Equation.3" ShapeID="_x0000_i1061" DrawAspect="Content" ObjectID="_1470254317" r:id="rId71"/>
        </w:object>
      </w:r>
      <w:r w:rsidRPr="00242D6C">
        <w:rPr>
          <w:sz w:val="28"/>
          <w:lang w:val="ru-RU"/>
        </w:rPr>
        <w:t xml:space="preserve"> Из изложенного следует, что индекс референтности, вернее </w:t>
      </w:r>
      <w:r w:rsidRPr="00242D6C">
        <w:rPr>
          <w:position w:val="-10"/>
          <w:sz w:val="28"/>
          <w:lang w:val="ru-RU"/>
        </w:rPr>
        <w:object w:dxaOrig="639" w:dyaOrig="340">
          <v:shape id="_x0000_i1062" type="#_x0000_t75" style="width:32.25pt;height:17.25pt" o:ole="">
            <v:imagedata r:id="rId72" o:title=""/>
          </v:shape>
          <o:OLEObject Type="Embed" ProgID="Equation.3" ShapeID="_x0000_i1062" DrawAspect="Content" ObjectID="_1470254318" r:id="rId73"/>
        </w:object>
      </w:r>
      <w:r w:rsidRPr="00242D6C">
        <w:rPr>
          <w:sz w:val="28"/>
          <w:lang w:val="ru-RU"/>
        </w:rPr>
        <w:t xml:space="preserve">, характеризует, образно говоря, степень «безответной любви», когда не все положительные индексы взаимны. </w:t>
      </w:r>
    </w:p>
    <w:p w:rsidR="00B23210" w:rsidRPr="00242D6C" w:rsidRDefault="00B23210" w:rsidP="00242D6C">
      <w:pPr>
        <w:spacing w:line="360" w:lineRule="auto"/>
        <w:ind w:firstLine="709"/>
        <w:jc w:val="both"/>
        <w:rPr>
          <w:sz w:val="28"/>
          <w:lang w:val="ru-RU"/>
        </w:rPr>
      </w:pPr>
      <w:r w:rsidRPr="00242D6C">
        <w:rPr>
          <w:sz w:val="28"/>
          <w:lang w:val="ru-RU"/>
        </w:rPr>
        <w:t xml:space="preserve">В нашем примере групповые социндексы равны: </w:t>
      </w:r>
    </w:p>
    <w:p w:rsidR="00B23210" w:rsidRPr="00242D6C" w:rsidRDefault="00B23210" w:rsidP="00242D6C">
      <w:pPr>
        <w:spacing w:line="360" w:lineRule="auto"/>
        <w:ind w:firstLine="709"/>
        <w:jc w:val="both"/>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B23210" w:rsidRPr="00242D6C">
        <w:tc>
          <w:tcPr>
            <w:tcW w:w="3190" w:type="dxa"/>
          </w:tcPr>
          <w:p w:rsidR="00B23210" w:rsidRPr="00242D6C" w:rsidRDefault="00B23210" w:rsidP="00242D6C">
            <w:pPr>
              <w:spacing w:line="360" w:lineRule="auto"/>
              <w:ind w:firstLine="709"/>
              <w:jc w:val="both"/>
              <w:rPr>
                <w:sz w:val="28"/>
                <w:lang w:val="ru-RU"/>
              </w:rPr>
            </w:pPr>
            <w:r w:rsidRPr="00242D6C">
              <w:rPr>
                <w:position w:val="-12"/>
                <w:sz w:val="28"/>
                <w:lang w:val="ru-RU"/>
              </w:rPr>
              <w:object w:dxaOrig="1840" w:dyaOrig="360">
                <v:shape id="_x0000_i1063" type="#_x0000_t75" style="width:92.25pt;height:18pt" o:ole="">
                  <v:imagedata r:id="rId74" o:title=""/>
                </v:shape>
                <o:OLEObject Type="Embed" ProgID="Equation.3" ShapeID="_x0000_i1063" DrawAspect="Content" ObjectID="_1470254319" r:id="rId75"/>
              </w:object>
            </w:r>
          </w:p>
        </w:tc>
        <w:tc>
          <w:tcPr>
            <w:tcW w:w="3190" w:type="dxa"/>
          </w:tcPr>
          <w:p w:rsidR="00B23210" w:rsidRPr="00242D6C" w:rsidRDefault="00B23210" w:rsidP="00242D6C">
            <w:pPr>
              <w:spacing w:line="360" w:lineRule="auto"/>
              <w:ind w:firstLine="709"/>
              <w:jc w:val="both"/>
              <w:rPr>
                <w:sz w:val="28"/>
                <w:lang w:val="ru-RU"/>
              </w:rPr>
            </w:pPr>
            <w:r w:rsidRPr="00242D6C">
              <w:rPr>
                <w:position w:val="-10"/>
                <w:sz w:val="28"/>
                <w:lang w:val="ru-RU"/>
              </w:rPr>
              <w:object w:dxaOrig="1620" w:dyaOrig="340">
                <v:shape id="_x0000_i1064" type="#_x0000_t75" style="width:81pt;height:17.25pt" o:ole="">
                  <v:imagedata r:id="rId76" o:title=""/>
                </v:shape>
                <o:OLEObject Type="Embed" ProgID="Equation.3" ShapeID="_x0000_i1064" DrawAspect="Content" ObjectID="_1470254320" r:id="rId77"/>
              </w:object>
            </w:r>
          </w:p>
        </w:tc>
        <w:tc>
          <w:tcPr>
            <w:tcW w:w="3191" w:type="dxa"/>
          </w:tcPr>
          <w:p w:rsidR="00B23210" w:rsidRPr="00242D6C" w:rsidRDefault="00B23210" w:rsidP="00242D6C">
            <w:pPr>
              <w:spacing w:line="360" w:lineRule="auto"/>
              <w:ind w:firstLine="709"/>
              <w:jc w:val="both"/>
              <w:rPr>
                <w:sz w:val="28"/>
                <w:lang w:val="ru-RU"/>
              </w:rPr>
            </w:pPr>
            <w:r w:rsidRPr="00242D6C">
              <w:rPr>
                <w:position w:val="-10"/>
                <w:sz w:val="28"/>
                <w:lang w:val="ru-RU"/>
              </w:rPr>
              <w:object w:dxaOrig="1600" w:dyaOrig="340">
                <v:shape id="_x0000_i1065" type="#_x0000_t75" style="width:80.25pt;height:17.25pt" o:ole="">
                  <v:imagedata r:id="rId78" o:title=""/>
                </v:shape>
                <o:OLEObject Type="Embed" ProgID="Equation.3" ShapeID="_x0000_i1065" DrawAspect="Content" ObjectID="_1470254321" r:id="rId79"/>
              </w:object>
            </w:r>
          </w:p>
        </w:tc>
      </w:tr>
    </w:tbl>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ru-RU"/>
        </w:rPr>
      </w:pPr>
      <w:r w:rsidRPr="00242D6C">
        <w:rPr>
          <w:sz w:val="28"/>
          <w:lang w:val="ru-RU"/>
        </w:rPr>
        <w:t xml:space="preserve">Проверим корректность формулы по </w:t>
      </w:r>
      <w:r w:rsidRPr="00242D6C">
        <w:rPr>
          <w:position w:val="-12"/>
          <w:sz w:val="28"/>
          <w:lang w:val="ru-RU"/>
        </w:rPr>
        <w:object w:dxaOrig="279" w:dyaOrig="360">
          <v:shape id="_x0000_i1066" type="#_x0000_t75" style="width:14.25pt;height:18pt" o:ole="">
            <v:imagedata r:id="rId80" o:title=""/>
          </v:shape>
          <o:OLEObject Type="Embed" ProgID="Equation.3" ShapeID="_x0000_i1066" DrawAspect="Content" ObjectID="_1470254322" r:id="rId81"/>
        </w:object>
      </w:r>
      <w:r w:rsidRPr="00242D6C">
        <w:rPr>
          <w:sz w:val="28"/>
          <w:lang w:val="ru-RU"/>
        </w:rPr>
        <w:t>:</w:t>
      </w:r>
    </w:p>
    <w:p w:rsidR="00B23210" w:rsidRPr="00242D6C" w:rsidRDefault="00B23210" w:rsidP="00242D6C">
      <w:pPr>
        <w:spacing w:line="360" w:lineRule="auto"/>
        <w:ind w:firstLine="709"/>
        <w:jc w:val="both"/>
        <w:rPr>
          <w:sz w:val="28"/>
          <w:lang w:val="ru-RU"/>
        </w:rPr>
      </w:pPr>
      <w:r w:rsidRPr="00242D6C">
        <w:rPr>
          <w:position w:val="-12"/>
          <w:sz w:val="28"/>
          <w:lang w:val="ru-RU"/>
        </w:rPr>
        <w:object w:dxaOrig="4420" w:dyaOrig="360">
          <v:shape id="_x0000_i1067" type="#_x0000_t75" style="width:221.25pt;height:18pt" o:ole="">
            <v:imagedata r:id="rId82" o:title=""/>
          </v:shape>
          <o:OLEObject Type="Embed" ProgID="Equation.3" ShapeID="_x0000_i1067" DrawAspect="Content" ObjectID="_1470254323" r:id="rId83"/>
        </w:object>
      </w:r>
    </w:p>
    <w:p w:rsidR="00B23210" w:rsidRPr="00242D6C" w:rsidRDefault="00B23210" w:rsidP="00242D6C">
      <w:pPr>
        <w:spacing w:line="360" w:lineRule="auto"/>
        <w:ind w:firstLine="709"/>
        <w:jc w:val="both"/>
        <w:rPr>
          <w:sz w:val="28"/>
          <w:lang w:val="ru-RU"/>
        </w:rPr>
      </w:pPr>
      <w:r w:rsidRPr="00242D6C">
        <w:rPr>
          <w:sz w:val="28"/>
          <w:lang w:val="ru-RU"/>
        </w:rPr>
        <w:t xml:space="preserve">Аналогично по </w:t>
      </w:r>
      <w:r w:rsidRPr="00242D6C">
        <w:rPr>
          <w:position w:val="-12"/>
          <w:sz w:val="28"/>
          <w:lang w:val="ru-RU"/>
        </w:rPr>
        <w:object w:dxaOrig="279" w:dyaOrig="360">
          <v:shape id="_x0000_i1068" type="#_x0000_t75" style="width:14.25pt;height:18pt" o:ole="">
            <v:imagedata r:id="rId84" o:title=""/>
          </v:shape>
          <o:OLEObject Type="Embed" ProgID="Equation.3" ShapeID="_x0000_i1068" DrawAspect="Content" ObjectID="_1470254324" r:id="rId85"/>
        </w:object>
      </w:r>
      <w:r w:rsidRPr="00242D6C">
        <w:rPr>
          <w:sz w:val="28"/>
          <w:lang w:val="ru-RU"/>
        </w:rPr>
        <w:t xml:space="preserve">  </w:t>
      </w:r>
      <w:r w:rsidRPr="00242D6C">
        <w:rPr>
          <w:position w:val="-12"/>
          <w:sz w:val="28"/>
          <w:lang w:val="ru-RU"/>
        </w:rPr>
        <w:object w:dxaOrig="4420" w:dyaOrig="360">
          <v:shape id="_x0000_i1069" type="#_x0000_t75" style="width:221.25pt;height:18pt" o:ole="">
            <v:imagedata r:id="rId86" o:title=""/>
          </v:shape>
          <o:OLEObject Type="Embed" ProgID="Equation.3" ShapeID="_x0000_i1069" DrawAspect="Content" ObjectID="_1470254325" r:id="rId87"/>
        </w:object>
      </w:r>
    </w:p>
    <w:p w:rsidR="00B23210" w:rsidRPr="00242D6C" w:rsidRDefault="00B23210" w:rsidP="00242D6C">
      <w:pPr>
        <w:spacing w:line="360" w:lineRule="auto"/>
        <w:ind w:firstLine="709"/>
        <w:jc w:val="both"/>
        <w:rPr>
          <w:sz w:val="28"/>
          <w:lang w:val="ru-RU"/>
        </w:rPr>
      </w:pPr>
      <w:r w:rsidRPr="00242D6C">
        <w:rPr>
          <w:sz w:val="28"/>
          <w:lang w:val="ru-RU"/>
        </w:rPr>
        <w:t xml:space="preserve">Таким образом, исследуемая группа примерно наполовину связана </w:t>
      </w:r>
      <w:r w:rsidRPr="00242D6C">
        <w:rPr>
          <w:position w:val="-12"/>
          <w:sz w:val="28"/>
          <w:lang w:val="ru-RU"/>
        </w:rPr>
        <w:object w:dxaOrig="1180" w:dyaOrig="360">
          <v:shape id="_x0000_i1070" type="#_x0000_t75" style="width:59.25pt;height:18pt" o:ole="">
            <v:imagedata r:id="rId88" o:title=""/>
          </v:shape>
          <o:OLEObject Type="Embed" ProgID="Equation.3" ShapeID="_x0000_i1070" DrawAspect="Content" ObjectID="_1470254326" r:id="rId89"/>
        </w:object>
      </w:r>
      <w:r w:rsidRPr="00242D6C">
        <w:rPr>
          <w:sz w:val="28"/>
          <w:lang w:val="ru-RU"/>
        </w:rPr>
        <w:t xml:space="preserve">, т.е. реализовано примерно 50% возможных связей между членами группы. Соответственно, на этом фоне относительно мала и степень сплоченности группы – всего 20%, причем 40% положительных связей </w:t>
      </w:r>
      <w:r w:rsidRPr="00242D6C">
        <w:rPr>
          <w:position w:val="-10"/>
          <w:sz w:val="28"/>
          <w:lang w:val="ru-RU"/>
        </w:rPr>
        <w:object w:dxaOrig="820" w:dyaOrig="340">
          <v:shape id="_x0000_i1071" type="#_x0000_t75" style="width:41.25pt;height:17.25pt" o:ole="">
            <v:imagedata r:id="rId90" o:title=""/>
          </v:shape>
          <o:OLEObject Type="Embed" ProgID="Equation.3" ShapeID="_x0000_i1071" DrawAspect="Content" ObjectID="_1470254327" r:id="rId91"/>
        </w:object>
      </w:r>
      <w:r w:rsidRPr="00242D6C">
        <w:rPr>
          <w:sz w:val="28"/>
          <w:lang w:val="ru-RU"/>
        </w:rPr>
        <w:t xml:space="preserve"> не находят взаимопонимания. Групповые индексы свидетельствуют о том, что члены группы либо недостаточно знают друг друга, либо в борьбе за существование многие очерствели настолько, что не отличают коллег от мебели и оборудования.</w:t>
      </w:r>
    </w:p>
    <w:p w:rsidR="00B23210" w:rsidRPr="00242D6C" w:rsidRDefault="00B23210" w:rsidP="00242D6C">
      <w:pPr>
        <w:spacing w:line="360" w:lineRule="auto"/>
        <w:ind w:firstLine="709"/>
        <w:jc w:val="both"/>
        <w:rPr>
          <w:sz w:val="28"/>
          <w:lang w:val="ru-RU"/>
        </w:rPr>
      </w:pPr>
      <w:r w:rsidRPr="00242D6C">
        <w:rPr>
          <w:sz w:val="28"/>
          <w:lang w:val="ru-RU"/>
        </w:rPr>
        <w:t xml:space="preserve">Персональные и групповые социоиндексы, рассмотренные в данном разделе, не исчерпывают и сотой доли возможных социоиндексов, которые творчески мыслящий социолог-исследователь может самостоятельно конструировать при решении конкретных задач. При этом социоиндексы отражают лишь тот смысл, который в них заложен, и поэтому они продуктивны лишь в том случае, если по смыслу соответствуют поставленной задаче. Так, в приведенном примере нас не интересовал групповой «индекс равнодушия» как отношение числа пустых клеток социоматрицы к потенциальному числу выборов. Очевидно, что данный индекс равен </w:t>
      </w:r>
      <w:r w:rsidRPr="00242D6C">
        <w:rPr>
          <w:position w:val="-12"/>
          <w:sz w:val="28"/>
          <w:lang w:val="ru-RU"/>
        </w:rPr>
        <w:object w:dxaOrig="2160" w:dyaOrig="360">
          <v:shape id="_x0000_i1072" type="#_x0000_t75" style="width:108pt;height:18pt" o:ole="">
            <v:imagedata r:id="rId92" o:title=""/>
          </v:shape>
          <o:OLEObject Type="Embed" ProgID="Equation.3" ShapeID="_x0000_i1072" DrawAspect="Content" ObjectID="_1470254328" r:id="rId93"/>
        </w:object>
      </w:r>
      <w:r w:rsidRPr="00242D6C">
        <w:rPr>
          <w:sz w:val="28"/>
          <w:lang w:val="ru-RU"/>
        </w:rPr>
        <w:t xml:space="preserve"> (14 пустых клеток, </w:t>
      </w:r>
      <w:r w:rsidRPr="00242D6C">
        <w:rPr>
          <w:position w:val="-12"/>
          <w:sz w:val="28"/>
          <w:lang w:val="ru-RU"/>
        </w:rPr>
        <w:object w:dxaOrig="1040" w:dyaOrig="360">
          <v:shape id="_x0000_i1073" type="#_x0000_t75" style="width:51.75pt;height:18pt" o:ole="">
            <v:imagedata r:id="rId94" o:title=""/>
          </v:shape>
          <o:OLEObject Type="Embed" ProgID="Equation.3" ShapeID="_x0000_i1073" DrawAspect="Content" ObjectID="_1470254329" r:id="rId95"/>
        </w:object>
      </w:r>
      <w:r w:rsidRPr="00242D6C">
        <w:rPr>
          <w:sz w:val="28"/>
          <w:lang w:val="ru-RU"/>
        </w:rPr>
        <w:t>).</w:t>
      </w: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ru-RU"/>
        </w:rPr>
      </w:pPr>
    </w:p>
    <w:p w:rsidR="00B23210" w:rsidRPr="00242D6C" w:rsidRDefault="00B23210" w:rsidP="00242D6C">
      <w:pPr>
        <w:spacing w:line="360" w:lineRule="auto"/>
        <w:ind w:firstLine="709"/>
        <w:jc w:val="both"/>
        <w:rPr>
          <w:sz w:val="28"/>
          <w:lang w:val="en-US"/>
        </w:rPr>
      </w:pPr>
    </w:p>
    <w:p w:rsidR="00B23210" w:rsidRPr="00242D6C" w:rsidRDefault="00B23210" w:rsidP="00242D6C">
      <w:pPr>
        <w:spacing w:line="360" w:lineRule="auto"/>
        <w:ind w:firstLine="709"/>
        <w:jc w:val="both"/>
        <w:rPr>
          <w:sz w:val="28"/>
          <w:lang w:val="en-US"/>
        </w:rPr>
      </w:pPr>
      <w:bookmarkStart w:id="0" w:name="_GoBack"/>
      <w:bookmarkEnd w:id="0"/>
    </w:p>
    <w:sectPr w:rsidR="00B23210" w:rsidRPr="00242D6C" w:rsidSect="00242D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15E"/>
    <w:multiLevelType w:val="hybridMultilevel"/>
    <w:tmpl w:val="4D646BB2"/>
    <w:lvl w:ilvl="0" w:tplc="0419000D">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2EC0D78"/>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6A85F0B"/>
    <w:multiLevelType w:val="hybridMultilevel"/>
    <w:tmpl w:val="0A26AC96"/>
    <w:lvl w:ilvl="0" w:tplc="A5BE15EE">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A95723"/>
    <w:multiLevelType w:val="hybridMultilevel"/>
    <w:tmpl w:val="6DCCC4E8"/>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21948A8"/>
    <w:multiLevelType w:val="hybridMultilevel"/>
    <w:tmpl w:val="10F27AD0"/>
    <w:lvl w:ilvl="0" w:tplc="A5BE15EE">
      <w:start w:val="1"/>
      <w:numFmt w:val="bullet"/>
      <w:lvlText w:val=""/>
      <w:lvlJc w:val="left"/>
      <w:pPr>
        <w:tabs>
          <w:tab w:val="num" w:pos="1785"/>
        </w:tabs>
        <w:ind w:left="178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25D00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DC6398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65733B5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6DFB0689"/>
    <w:multiLevelType w:val="hybridMultilevel"/>
    <w:tmpl w:val="C0C624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164DEF"/>
    <w:multiLevelType w:val="multilevel"/>
    <w:tmpl w:val="0A26AC96"/>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4"/>
  </w:num>
  <w:num w:numId="2">
    <w:abstractNumId w:val="8"/>
  </w:num>
  <w:num w:numId="3">
    <w:abstractNumId w:val="2"/>
  </w:num>
  <w:num w:numId="4">
    <w:abstractNumId w:val="9"/>
  </w:num>
  <w:num w:numId="5">
    <w:abstractNumId w:val="7"/>
  </w:num>
  <w:num w:numId="6">
    <w:abstractNumId w:val="1"/>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930"/>
    <w:rsid w:val="00242D6C"/>
    <w:rsid w:val="003F0187"/>
    <w:rsid w:val="00487930"/>
    <w:rsid w:val="00544DD2"/>
    <w:rsid w:val="007320F2"/>
    <w:rsid w:val="00B23210"/>
    <w:rsid w:val="00D35DDC"/>
    <w:rsid w:val="00D9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FB3F0271-7902-44D3-A1C3-D6AA64B7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character" w:styleId="a4">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8.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28.wmf"/><Relationship Id="rId87" Type="http://schemas.openxmlformats.org/officeDocument/2006/relationships/oleObject" Target="embeddings/oleObject45.bin"/><Relationship Id="rId61" Type="http://schemas.openxmlformats.org/officeDocument/2006/relationships/oleObject" Target="embeddings/oleObject32.bin"/><Relationship Id="rId82" Type="http://schemas.openxmlformats.org/officeDocument/2006/relationships/image" Target="media/image3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3.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Элементы индексного анализа</vt:lpstr>
    </vt:vector>
  </TitlesOfParts>
  <Company>HOSTEL</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индексного анализа</dc:title>
  <dc:subject/>
  <dc:creator>Mila</dc:creator>
  <cp:keywords/>
  <dc:description/>
  <cp:lastModifiedBy>Irina</cp:lastModifiedBy>
  <cp:revision>2</cp:revision>
  <dcterms:created xsi:type="dcterms:W3CDTF">2014-08-22T20:10:00Z</dcterms:created>
  <dcterms:modified xsi:type="dcterms:W3CDTF">2014-08-22T20:10:00Z</dcterms:modified>
</cp:coreProperties>
</file>