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B9" w:rsidRDefault="00293934">
      <w:pPr>
        <w:pStyle w:val="a3"/>
      </w:pPr>
      <w:r>
        <w:br/>
      </w:r>
      <w:r>
        <w:br/>
        <w:t xml:space="preserve">Фок, Борис Борисович </w:t>
      </w:r>
      <w:r>
        <w:br/>
      </w:r>
      <w:r>
        <w:rPr>
          <w:b/>
          <w:bCs/>
        </w:rPr>
        <w:t>Борис Борисович Фок</w:t>
      </w:r>
      <w:r>
        <w:t xml:space="preserve"> (1760—1818), российский командир эпохи наполеоновских войн, генерал-лейтенант</w:t>
      </w:r>
    </w:p>
    <w:p w:rsidR="000027B9" w:rsidRDefault="00293934">
      <w:pPr>
        <w:pStyle w:val="21"/>
        <w:numPr>
          <w:ilvl w:val="0"/>
          <w:numId w:val="0"/>
        </w:numPr>
      </w:pPr>
      <w:r>
        <w:t>Биография</w:t>
      </w:r>
    </w:p>
    <w:p w:rsidR="000027B9" w:rsidRDefault="00293934">
      <w:pPr>
        <w:pStyle w:val="a3"/>
      </w:pPr>
      <w:r>
        <w:t>«Из голштинских дворян лютеранского закона российский уроженец». На службе с 8 июня 1775 г. сержантом Бомбардирского полка. 9 января 1785 г. получил чин подпоручика, в следующем году назначен флигель-адъютантом чина капитанского.</w:t>
      </w:r>
    </w:p>
    <w:p w:rsidR="000027B9" w:rsidRDefault="00293934">
      <w:pPr>
        <w:pStyle w:val="a3"/>
      </w:pPr>
      <w:r>
        <w:t>Сражался с турками в 1788 г., со шведами — в 1790 г., с поляками — в 1792 и 1794 г. В мае 1797 г. назначен командиром 5-го егерского полка, а с 17 января 1799 г. стал его шефом. В полковники произведён 6 апреля 1798 г., 22 апреля 1799 г. — в генерал-майоры.</w:t>
      </w:r>
    </w:p>
    <w:p w:rsidR="000027B9" w:rsidRDefault="00293934">
      <w:pPr>
        <w:pStyle w:val="a3"/>
      </w:pPr>
      <w:r>
        <w:t>3 января 1800 г. по собственной просьбе вышел в отставку с чином генерал-лейтенанта. Вернулся на службу генерал-майором 16 марта 1807 г. на время боевых действий с французами, 9 апреля назначен шефом 24-го егерского полка, а 20 апреля — командиром Астраханского гренадерского полка.</w:t>
      </w:r>
    </w:p>
    <w:p w:rsidR="000027B9" w:rsidRDefault="00293934">
      <w:pPr>
        <w:pStyle w:val="a3"/>
      </w:pPr>
      <w:r>
        <w:t>23 октября 1807 г. уволен в отставку с чином генерал-лейтенанта. 27 февраля 1812 г. вновь принят на службу с чином генерал-майора. Шефом Санкт-Петербургского гренадерского полка назначен 27 февраля 1812 г.</w:t>
      </w:r>
    </w:p>
    <w:p w:rsidR="000027B9" w:rsidRDefault="00293934">
      <w:pPr>
        <w:pStyle w:val="a3"/>
      </w:pPr>
      <w:r>
        <w:t>В начале 1812 г. Санкт-Петербургский гренадерский полк, шефом которого был Фок, в составе 3-й бригады 1-й гренадерской дивизии входил в 3-й пехотный корпус 1-й Западной армии. Фок также командовал и этой бригадой. Участвовал в боях под Витебском и Смоленском. В Бородинской битве водил в атаку три грендерских полка, участвовал в рукопашных схватках и 20 октября 1812 года был награждён орденом Св. Георгия 3-го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"/>
        <w:gridCol w:w="965"/>
        <w:gridCol w:w="93"/>
      </w:tblGrid>
      <w:tr w:rsidR="000027B9">
        <w:tc>
          <w:tcPr>
            <w:tcW w:w="74" w:type="dxa"/>
            <w:vAlign w:val="center"/>
          </w:tcPr>
          <w:p w:rsidR="000027B9" w:rsidRDefault="000027B9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0027B9" w:rsidRDefault="00293934">
            <w:pPr>
              <w:pStyle w:val="TableContents"/>
            </w:pPr>
            <w:r>
              <w:t>за мужество и храбрость, оказанные в сражении против французских войск 26-го августа при Бородине.</w:t>
            </w:r>
          </w:p>
        </w:tc>
        <w:tc>
          <w:tcPr>
            <w:tcW w:w="93" w:type="dxa"/>
            <w:vAlign w:val="center"/>
          </w:tcPr>
          <w:p w:rsidR="000027B9" w:rsidRDefault="000027B9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0027B9" w:rsidRDefault="00293934">
      <w:pPr>
        <w:pStyle w:val="a3"/>
      </w:pPr>
      <w:r>
        <w:t>Затем командовал с отличием 24-й пехотной дивизией под Тарутином и Малоярославцем. 29 декабря 1812 г. уволен генерал-лейтенантом за болезнью с мундиром.</w:t>
      </w:r>
    </w:p>
    <w:p w:rsidR="000027B9" w:rsidRDefault="00293934">
      <w:pPr>
        <w:pStyle w:val="21"/>
        <w:numPr>
          <w:ilvl w:val="0"/>
          <w:numId w:val="0"/>
        </w:numPr>
      </w:pPr>
      <w:r>
        <w:t>Примечания</w:t>
      </w:r>
    </w:p>
    <w:p w:rsidR="000027B9" w:rsidRDefault="00293934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Словарь русских генералов, участников боевых действий против армии Наполеона Бонапарта в 1812—1815 гг. // </w:t>
      </w:r>
      <w:r>
        <w:rPr>
          <w:i/>
          <w:iCs/>
        </w:rPr>
        <w:t>Российский архив</w:t>
      </w:r>
      <w:r>
        <w:t xml:space="preserve"> : Сб. — М.: студия «ТРИТЭ» Н. Михалкова, 1996. — Т. VII. — С. 596.</w:t>
      </w:r>
    </w:p>
    <w:p w:rsidR="000027B9" w:rsidRDefault="000027B9">
      <w:pPr>
        <w:pStyle w:val="a3"/>
      </w:pPr>
    </w:p>
    <w:p w:rsidR="000027B9" w:rsidRDefault="00293934">
      <w:pPr>
        <w:pStyle w:val="a3"/>
      </w:pPr>
      <w:r>
        <w:t>Источник: http://ru.wikipedia.org/wiki/Фок,_Борис_Борисович</w:t>
      </w:r>
      <w:bookmarkStart w:id="0" w:name="_GoBack"/>
      <w:bookmarkEnd w:id="0"/>
    </w:p>
    <w:sectPr w:rsidR="000027B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934"/>
    <w:rsid w:val="000027B9"/>
    <w:rsid w:val="00293934"/>
    <w:rsid w:val="00C8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7FE68-E894-48C0-9CCF-4788AF10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2014-04-03T06:48:00Z</dcterms:created>
  <dcterms:modified xsi:type="dcterms:W3CDTF">2014-04-03T06:48:00Z</dcterms:modified>
</cp:coreProperties>
</file>