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E5E" w:rsidRDefault="009C1E5E">
      <w:pPr>
        <w:pStyle w:val="3"/>
        <w:jc w:val="center"/>
        <w:rPr>
          <w:rFonts w:ascii="Times New Roman" w:hAnsi="Times New Roman" w:cs="Times New Roman"/>
          <w:sz w:val="28"/>
          <w:szCs w:val="28"/>
          <w:lang w:val="ru-RU"/>
        </w:rPr>
      </w:pPr>
      <w:r>
        <w:rPr>
          <w:rFonts w:ascii="Times New Roman" w:hAnsi="Times New Roman" w:cs="Times New Roman"/>
          <w:sz w:val="28"/>
          <w:szCs w:val="28"/>
          <w:lang w:val="ru-RU"/>
        </w:rPr>
        <w:t>Фоновые антропогенные воздействия</w:t>
      </w:r>
    </w:p>
    <w:p w:rsidR="009C1E5E" w:rsidRDefault="009C1E5E">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Представление о том, что на Земле сохранились до настоящего времени леса или какие-либо иные природные экосистемы, полностью избежавшие воздействия хозяйственной деятельности человека, является существенным упрощением действительности. В реальности каждый участок леса подвергался раньше или подвергается сейчас определенным видам антропогенного воздействия - даже в том случае, если такое воздействие не может быть прямо обнаружено и измерено. Характерными примерами таких повсеместно распространенных видов антропогенных воздействий являются глобальное загрязнение атмосферы, изменения численности видов охотничье-промысловых животных (многие из которых являются важными средообразующими компонентами лесных экосистем) или изменения частоты лесных пожаров в результате изменения плотности и образа жизни населения в лесных регионах. </w:t>
      </w:r>
    </w:p>
    <w:tbl>
      <w:tblPr>
        <w:tblW w:w="6000" w:type="dxa"/>
        <w:tblCellSpacing w:w="0" w:type="dxa"/>
        <w:tblBorders>
          <w:top w:val="outset" w:sz="12" w:space="0" w:color="auto"/>
          <w:left w:val="outset" w:sz="12" w:space="0" w:color="auto"/>
          <w:bottom w:val="outset" w:sz="12" w:space="0" w:color="auto"/>
          <w:right w:val="outset" w:sz="12" w:space="0" w:color="auto"/>
        </w:tblBorders>
        <w:tblCellMar>
          <w:left w:w="0" w:type="dxa"/>
          <w:right w:w="0" w:type="dxa"/>
        </w:tblCellMar>
        <w:tblLook w:val="0000" w:firstRow="0" w:lastRow="0" w:firstColumn="0" w:lastColumn="0" w:noHBand="0" w:noVBand="0"/>
      </w:tblPr>
      <w:tblGrid>
        <w:gridCol w:w="8030"/>
      </w:tblGrid>
      <w:tr w:rsidR="009C1E5E" w:rsidRPr="009C1E5E">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9C1E5E" w:rsidRPr="009C1E5E" w:rsidRDefault="0057743E">
            <w:pPr>
              <w:jc w:val="both"/>
              <w:rPr>
                <w:color w:val="000000"/>
              </w:rPr>
            </w:pPr>
            <w:r>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9.75pt;height:267pt">
                  <v:imagedata r:id="rId5" o:title="i_34"/>
                </v:shape>
              </w:pict>
            </w:r>
          </w:p>
        </w:tc>
      </w:tr>
      <w:tr w:rsidR="009C1E5E" w:rsidRPr="009C1E5E">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CCFFCC"/>
            <w:vAlign w:val="center"/>
          </w:tcPr>
          <w:p w:rsidR="009C1E5E" w:rsidRPr="009C1E5E" w:rsidRDefault="009C1E5E">
            <w:pPr>
              <w:jc w:val="both"/>
              <w:rPr>
                <w:color w:val="000000"/>
              </w:rPr>
            </w:pPr>
            <w:r w:rsidRPr="009C1E5E">
              <w:rPr>
                <w:color w:val="000000"/>
              </w:rPr>
              <w:t xml:space="preserve">Рис. 34. Многие ельники, особенно в бассейне Белого моря, обязаны своим формированием целенаправленной выборке сосны при рубках конца XIX - первой половины ХХ столетий. На фотографии - ельник, сформировавшийся на участке условно-сплошной рубки первого десятилетия ХХ века. </w:t>
            </w:r>
            <w:r w:rsidRPr="009C1E5E">
              <w:rPr>
                <w:i/>
                <w:iCs/>
                <w:color w:val="000000"/>
              </w:rPr>
              <w:t>Фото А. Ярошенко.</w:t>
            </w:r>
            <w:r w:rsidRPr="009C1E5E">
              <w:rPr>
                <w:color w:val="000000"/>
              </w:rPr>
              <w:t xml:space="preserve"> </w:t>
            </w:r>
          </w:p>
        </w:tc>
      </w:tr>
    </w:tbl>
    <w:p w:rsidR="009C1E5E" w:rsidRDefault="009C1E5E">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Таким образом, любые критерии выделения минимально нарушенных (или "не нарушенных") хозяйственной деятельностью человека лесов и лесных территорий подразумевают наличие некоторого фонового уровня антропогенного воздействия, который признается не значимым в рамках данных критериев. Такой фоновый уровень антропогенного воздействия может определяться явно (например, путем задания перечня видов антропогенных воздействий, которые признаются не значимыми) или не явно (путем игнорирования тех видов воздействий, которые не могут быть обнаружены методами и специалистами, на которых эти критерии ориентированы).</w:t>
      </w:r>
    </w:p>
    <w:p w:rsidR="009C1E5E" w:rsidRDefault="009C1E5E">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Примером последнего является определение девственных лесов из ОСТ 56-108-98 "Лесоводство. Термины и определения". Здесь девственный лес определяется как "естественный лес, не испытавший заметного хозяйственного и антропогенного воздействия, изменяющийся на протяжении периода многих поколений лесообразующих древесных пород только вследствие природных процессов". Такой подход, очевидно, неизбежно приводит к определенной доле субъективизма при выявлении девственных лесов в соответствии с приводимым определением. Нахождение "заметных" признаков антропогенного воздействия зависит от применяемой методики (очевидно, что при применении космической съемки, авиационной съемки и наземного обследования "заметными" окажутся разные уровни воздействия и соответствующих нарушений), детальности выполняемых работ и квалификации исполнителей. </w:t>
      </w:r>
    </w:p>
    <w:p w:rsidR="009C1E5E" w:rsidRDefault="009C1E5E">
      <w:pPr>
        <w:pStyle w:val="a3"/>
        <w:ind w:firstLine="72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Например, участок леса в долине р. Вуокийоки в средней Карелии был охарактеризован несколькими исследователями как "коренной" или "девственный" ельник-черничник (рис. 34). Однако, когда в пределах этого леса (в рамках данной работы) на пробной площади 20х100 метров было произведено раскапывание всех микроповышений, было найдено 27 крупных пней сосны, местами со следами спиливания, а также не полностью разложившиеся вершинки, предположительно - от рубки 1900-1910 г.г. (что соответствует 135 деревьям на гектаре). То есть визуальная оценка этого леса позволила предположить его "девственность", а детальное исследование выявило признаки условно-сплошной рубки столетней давности. Вообще, "неявное" выделение фоновых видов антропогенных воздействий, которые не признаются значимыми, в большинстве случаев приводит к получению несравнимых результатов по разным регионам и в целом к невоспроизводимым результатам.</w:t>
      </w:r>
    </w:p>
    <w:p w:rsidR="009C1E5E" w:rsidRDefault="009C1E5E">
      <w:pPr>
        <w:pStyle w:val="a3"/>
        <w:ind w:firstLine="360"/>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В рамках данной работы было проведено явное определение тех уровней и видов антропогенных воздействий на леса и иные экосистемы лесной зоны, которые признавались фоновыми (не значимыми в рамках работы). К ним относятся: </w:t>
      </w:r>
    </w:p>
    <w:p w:rsidR="009C1E5E" w:rsidRDefault="009C1E5E">
      <w:pPr>
        <w:numPr>
          <w:ilvl w:val="0"/>
          <w:numId w:val="1"/>
        </w:numPr>
        <w:spacing w:before="100" w:beforeAutospacing="1" w:after="100" w:afterAutospacing="1"/>
        <w:jc w:val="both"/>
        <w:rPr>
          <w:color w:val="000000"/>
        </w:rPr>
      </w:pPr>
      <w:r>
        <w:rPr>
          <w:color w:val="000000"/>
        </w:rPr>
        <w:t xml:space="preserve">Древние виды хозяйственной деятельности человека, сформировавшиеся в период до начала промышленного "освоения" природных ресурсов Европейского Севера (и их последствия): </w:t>
      </w:r>
    </w:p>
    <w:p w:rsidR="009C1E5E" w:rsidRDefault="009C1E5E">
      <w:pPr>
        <w:numPr>
          <w:ilvl w:val="1"/>
          <w:numId w:val="1"/>
        </w:numPr>
        <w:spacing w:before="100" w:beforeAutospacing="1" w:after="100" w:afterAutospacing="1"/>
        <w:jc w:val="both"/>
        <w:rPr>
          <w:color w:val="000000"/>
        </w:rPr>
      </w:pPr>
      <w:r>
        <w:rPr>
          <w:color w:val="000000"/>
        </w:rPr>
        <w:t xml:space="preserve">подсечно-огневое земледелие (широко распространенное в южной и средней тайге вплоть до 30-х г.г. ХХ столетия); </w:t>
      </w:r>
    </w:p>
    <w:p w:rsidR="009C1E5E" w:rsidRDefault="009C1E5E">
      <w:pPr>
        <w:numPr>
          <w:ilvl w:val="1"/>
          <w:numId w:val="1"/>
        </w:numPr>
        <w:spacing w:before="100" w:beforeAutospacing="1" w:after="100" w:afterAutospacing="1"/>
        <w:jc w:val="both"/>
        <w:rPr>
          <w:color w:val="000000"/>
        </w:rPr>
      </w:pPr>
      <w:r>
        <w:rPr>
          <w:color w:val="000000"/>
        </w:rPr>
        <w:t xml:space="preserve">пожары, за исключением современных пожаров, примыкающих к промышленной и транспортной инфраструктуре (см. главу "Методика выявления малонарушенных лесных территорий"); </w:t>
      </w:r>
    </w:p>
    <w:p w:rsidR="009C1E5E" w:rsidRDefault="009C1E5E">
      <w:pPr>
        <w:numPr>
          <w:ilvl w:val="1"/>
          <w:numId w:val="1"/>
        </w:numPr>
        <w:spacing w:before="100" w:beforeAutospacing="1" w:after="100" w:afterAutospacing="1"/>
        <w:jc w:val="both"/>
        <w:rPr>
          <w:color w:val="000000"/>
        </w:rPr>
      </w:pPr>
      <w:r>
        <w:rPr>
          <w:color w:val="000000"/>
        </w:rPr>
        <w:t xml:space="preserve">охота (в том числе строительство сезонно обитаемых охотничьих избушек), рыболовство, заготовка грибов и ягод, рассеянная рекреация (не приводящая к созданию постоянной инфраструктуры); </w:t>
      </w:r>
    </w:p>
    <w:p w:rsidR="009C1E5E" w:rsidRDefault="009C1E5E">
      <w:pPr>
        <w:numPr>
          <w:ilvl w:val="1"/>
          <w:numId w:val="1"/>
        </w:numPr>
        <w:spacing w:before="100" w:beforeAutospacing="1" w:after="100" w:afterAutospacing="1"/>
        <w:jc w:val="both"/>
        <w:rPr>
          <w:color w:val="000000"/>
        </w:rPr>
      </w:pPr>
      <w:r>
        <w:rPr>
          <w:color w:val="000000"/>
        </w:rPr>
        <w:t xml:space="preserve">рубки единичных деревьев, производившиеся для местных строительных нужд или на дрова; </w:t>
      </w:r>
    </w:p>
    <w:p w:rsidR="009C1E5E" w:rsidRDefault="009C1E5E">
      <w:pPr>
        <w:numPr>
          <w:ilvl w:val="1"/>
          <w:numId w:val="1"/>
        </w:numPr>
        <w:spacing w:before="100" w:beforeAutospacing="1" w:after="100" w:afterAutospacing="1"/>
        <w:jc w:val="both"/>
        <w:rPr>
          <w:color w:val="000000"/>
        </w:rPr>
      </w:pPr>
      <w:r>
        <w:rPr>
          <w:color w:val="000000"/>
        </w:rPr>
        <w:t xml:space="preserve">расчистка сенокосных угодий в поймах малых рек, сенокошение. </w:t>
      </w:r>
    </w:p>
    <w:p w:rsidR="009C1E5E" w:rsidRDefault="009C1E5E">
      <w:pPr>
        <w:numPr>
          <w:ilvl w:val="0"/>
          <w:numId w:val="1"/>
        </w:numPr>
        <w:spacing w:before="100" w:beforeAutospacing="1" w:after="100" w:afterAutospacing="1"/>
        <w:jc w:val="both"/>
        <w:rPr>
          <w:color w:val="000000"/>
        </w:rPr>
      </w:pPr>
      <w:r>
        <w:rPr>
          <w:color w:val="000000"/>
        </w:rPr>
        <w:t xml:space="preserve">Рассеянная лесохозяйственная деятельность прошлого: </w:t>
      </w:r>
    </w:p>
    <w:p w:rsidR="009C1E5E" w:rsidRDefault="009C1E5E">
      <w:pPr>
        <w:numPr>
          <w:ilvl w:val="1"/>
          <w:numId w:val="1"/>
        </w:numPr>
        <w:spacing w:before="100" w:beforeAutospacing="1" w:after="100" w:afterAutospacing="1"/>
        <w:jc w:val="both"/>
        <w:rPr>
          <w:color w:val="000000"/>
        </w:rPr>
      </w:pPr>
      <w:r>
        <w:rPr>
          <w:color w:val="000000"/>
        </w:rPr>
        <w:t xml:space="preserve">промышленные выборочные рубки XVIII-XIX веков и начала ХХ века (до конца 30-х г.г.), а также последствия таких рубок (увеличение частоты возникновения пожаров в местах ведения лесозаготовок); </w:t>
      </w:r>
    </w:p>
    <w:p w:rsidR="009C1E5E" w:rsidRDefault="009C1E5E">
      <w:pPr>
        <w:numPr>
          <w:ilvl w:val="1"/>
          <w:numId w:val="1"/>
        </w:numPr>
        <w:spacing w:before="100" w:beforeAutospacing="1" w:after="100" w:afterAutospacing="1"/>
        <w:jc w:val="both"/>
        <w:rPr>
          <w:color w:val="000000"/>
        </w:rPr>
      </w:pPr>
      <w:r>
        <w:rPr>
          <w:color w:val="000000"/>
        </w:rPr>
        <w:t xml:space="preserve">подсочка сосновых насаждений. </w:t>
      </w:r>
    </w:p>
    <w:p w:rsidR="009C1E5E" w:rsidRDefault="009C1E5E">
      <w:pPr>
        <w:ind w:firstLine="720"/>
        <w:jc w:val="both"/>
        <w:rPr>
          <w:color w:val="000000"/>
        </w:rPr>
      </w:pPr>
      <w:r>
        <w:rPr>
          <w:color w:val="000000"/>
        </w:rPr>
        <w:t>Глобальные и региональные изменения экосистемы Земли (глобальное и региональное загрязнение атмосферы, возможные изменения климата, повсеместное изменение численности определенных видов животных или акклиматизация инородных видов и неизвестные или неоцененные глобальные и региональные изменения).</w:t>
      </w:r>
      <w:bookmarkStart w:id="0" w:name="_GoBack"/>
      <w:bookmarkEnd w:id="0"/>
    </w:p>
    <w:sectPr w:rsidR="009C1E5E">
      <w:pgSz w:w="11907" w:h="16840" w:code="9"/>
      <w:pgMar w:top="1418" w:right="1134" w:bottom="1418" w:left="1134" w:header="720" w:footer="720" w:gutter="0"/>
      <w:cols w:space="708"/>
      <w:docGrid w:linePitch="28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566B5E"/>
    <w:multiLevelType w:val="hybridMultilevel"/>
    <w:tmpl w:val="912CD484"/>
    <w:lvl w:ilvl="0" w:tplc="5720E7F6">
      <w:start w:val="1"/>
      <w:numFmt w:val="bullet"/>
      <w:lvlText w:val=""/>
      <w:lvlJc w:val="left"/>
      <w:pPr>
        <w:tabs>
          <w:tab w:val="num" w:pos="720"/>
        </w:tabs>
        <w:ind w:left="720" w:hanging="360"/>
      </w:pPr>
      <w:rPr>
        <w:rFonts w:ascii="Symbol" w:hAnsi="Symbol" w:cs="Symbol" w:hint="default"/>
        <w:sz w:val="20"/>
        <w:szCs w:val="20"/>
      </w:rPr>
    </w:lvl>
    <w:lvl w:ilvl="1" w:tplc="45FEB10C">
      <w:start w:val="1"/>
      <w:numFmt w:val="bullet"/>
      <w:lvlText w:val=""/>
      <w:lvlJc w:val="left"/>
      <w:pPr>
        <w:tabs>
          <w:tab w:val="num" w:pos="1440"/>
        </w:tabs>
        <w:ind w:left="1440" w:hanging="360"/>
      </w:pPr>
      <w:rPr>
        <w:rFonts w:ascii="Wingdings" w:hAnsi="Wingdings" w:cs="Wingdings" w:hint="default"/>
        <w:sz w:val="20"/>
        <w:szCs w:val="20"/>
      </w:rPr>
    </w:lvl>
    <w:lvl w:ilvl="2" w:tplc="AE20AB7E">
      <w:start w:val="1"/>
      <w:numFmt w:val="bullet"/>
      <w:lvlText w:val=""/>
      <w:lvlJc w:val="left"/>
      <w:pPr>
        <w:tabs>
          <w:tab w:val="num" w:pos="2160"/>
        </w:tabs>
        <w:ind w:left="2160" w:hanging="360"/>
      </w:pPr>
      <w:rPr>
        <w:rFonts w:ascii="Wingdings" w:hAnsi="Wingdings" w:cs="Wingdings" w:hint="default"/>
        <w:sz w:val="20"/>
        <w:szCs w:val="20"/>
      </w:rPr>
    </w:lvl>
    <w:lvl w:ilvl="3" w:tplc="704811E8">
      <w:start w:val="1"/>
      <w:numFmt w:val="bullet"/>
      <w:lvlText w:val=""/>
      <w:lvlJc w:val="left"/>
      <w:pPr>
        <w:tabs>
          <w:tab w:val="num" w:pos="2880"/>
        </w:tabs>
        <w:ind w:left="2880" w:hanging="360"/>
      </w:pPr>
      <w:rPr>
        <w:rFonts w:ascii="Wingdings" w:hAnsi="Wingdings" w:cs="Wingdings" w:hint="default"/>
        <w:sz w:val="20"/>
        <w:szCs w:val="20"/>
      </w:rPr>
    </w:lvl>
    <w:lvl w:ilvl="4" w:tplc="3502F126">
      <w:start w:val="1"/>
      <w:numFmt w:val="bullet"/>
      <w:lvlText w:val=""/>
      <w:lvlJc w:val="left"/>
      <w:pPr>
        <w:tabs>
          <w:tab w:val="num" w:pos="3600"/>
        </w:tabs>
        <w:ind w:left="3600" w:hanging="360"/>
      </w:pPr>
      <w:rPr>
        <w:rFonts w:ascii="Wingdings" w:hAnsi="Wingdings" w:cs="Wingdings" w:hint="default"/>
        <w:sz w:val="20"/>
        <w:szCs w:val="20"/>
      </w:rPr>
    </w:lvl>
    <w:lvl w:ilvl="5" w:tplc="EE4C8D00">
      <w:start w:val="1"/>
      <w:numFmt w:val="bullet"/>
      <w:lvlText w:val=""/>
      <w:lvlJc w:val="left"/>
      <w:pPr>
        <w:tabs>
          <w:tab w:val="num" w:pos="4320"/>
        </w:tabs>
        <w:ind w:left="4320" w:hanging="360"/>
      </w:pPr>
      <w:rPr>
        <w:rFonts w:ascii="Wingdings" w:hAnsi="Wingdings" w:cs="Wingdings" w:hint="default"/>
        <w:sz w:val="20"/>
        <w:szCs w:val="20"/>
      </w:rPr>
    </w:lvl>
    <w:lvl w:ilvl="6" w:tplc="C7A454B2">
      <w:start w:val="1"/>
      <w:numFmt w:val="bullet"/>
      <w:lvlText w:val=""/>
      <w:lvlJc w:val="left"/>
      <w:pPr>
        <w:tabs>
          <w:tab w:val="num" w:pos="5040"/>
        </w:tabs>
        <w:ind w:left="5040" w:hanging="360"/>
      </w:pPr>
      <w:rPr>
        <w:rFonts w:ascii="Wingdings" w:hAnsi="Wingdings" w:cs="Wingdings" w:hint="default"/>
        <w:sz w:val="20"/>
        <w:szCs w:val="20"/>
      </w:rPr>
    </w:lvl>
    <w:lvl w:ilvl="7" w:tplc="B10230A6">
      <w:start w:val="1"/>
      <w:numFmt w:val="bullet"/>
      <w:lvlText w:val=""/>
      <w:lvlJc w:val="left"/>
      <w:pPr>
        <w:tabs>
          <w:tab w:val="num" w:pos="5760"/>
        </w:tabs>
        <w:ind w:left="5760" w:hanging="360"/>
      </w:pPr>
      <w:rPr>
        <w:rFonts w:ascii="Wingdings" w:hAnsi="Wingdings" w:cs="Wingdings" w:hint="default"/>
        <w:sz w:val="20"/>
        <w:szCs w:val="20"/>
      </w:rPr>
    </w:lvl>
    <w:lvl w:ilvl="8" w:tplc="B0B234B2">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105"/>
  <w:drawingGridVerticalSpacing w:val="143"/>
  <w:displayHorizontalDrawingGridEvery w:val="0"/>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6107"/>
    <w:rsid w:val="0057743E"/>
    <w:rsid w:val="009C1E5E"/>
    <w:rsid w:val="00C06107"/>
    <w:rsid w:val="00DC0CD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81403766-E011-46BC-84D4-918974D83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en-US"/>
    </w:rPr>
  </w:style>
  <w:style w:type="paragraph" w:styleId="3">
    <w:name w:val="heading 3"/>
    <w:basedOn w:val="a"/>
    <w:link w:val="30"/>
    <w:uiPriority w:val="99"/>
    <w:qFormat/>
    <w:pPr>
      <w:spacing w:before="100" w:beforeAutospacing="1" w:after="100" w:afterAutospacing="1"/>
      <w:outlineLvl w:val="2"/>
    </w:pPr>
    <w:rPr>
      <w:rFonts w:ascii="Verdana" w:hAnsi="Verdana" w:cs="Verdana"/>
      <w:b/>
      <w:bCs/>
      <w:color w:val="000000"/>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lang w:eastAsia="en-US"/>
    </w:rPr>
  </w:style>
  <w:style w:type="paragraph" w:styleId="a3">
    <w:name w:val="Normal (Web)"/>
    <w:basedOn w:val="a"/>
    <w:uiPriority w:val="99"/>
    <w:pPr>
      <w:spacing w:before="100" w:beforeAutospacing="1" w:after="100" w:afterAutospacing="1"/>
    </w:pPr>
    <w:rPr>
      <w:rFonts w:ascii="Verdana" w:hAnsi="Verdana" w:cs="Verdana"/>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3254</Words>
  <Characters>1855</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Фоновые антропогенные воздействия</vt:lpstr>
    </vt:vector>
  </TitlesOfParts>
  <Company>R-Style</Company>
  <LinksUpToDate>false</LinksUpToDate>
  <CharactersWithSpaces>5099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Фоновые антропогенные воздействия</dc:title>
  <dc:subject/>
  <dc:creator>Andrew Gabov</dc:creator>
  <cp:keywords/>
  <dc:description/>
  <cp:lastModifiedBy>admin</cp:lastModifiedBy>
  <cp:revision>2</cp:revision>
  <dcterms:created xsi:type="dcterms:W3CDTF">2014-01-27T09:55:00Z</dcterms:created>
  <dcterms:modified xsi:type="dcterms:W3CDTF">2014-01-27T09:55:00Z</dcterms:modified>
</cp:coreProperties>
</file>