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7C" w:rsidRPr="00C8593E" w:rsidRDefault="0005607C" w:rsidP="0005607C">
      <w:pPr>
        <w:spacing w:before="120"/>
        <w:jc w:val="center"/>
        <w:rPr>
          <w:b/>
          <w:bCs/>
          <w:sz w:val="32"/>
          <w:szCs w:val="32"/>
        </w:rPr>
      </w:pPr>
      <w:r w:rsidRPr="00C8593E">
        <w:rPr>
          <w:b/>
          <w:bCs/>
          <w:sz w:val="32"/>
          <w:szCs w:val="32"/>
        </w:rPr>
        <w:t>Формирование венчурных сетей как стратегическое направление развития инновационного бизнеса</w:t>
      </w:r>
    </w:p>
    <w:p w:rsidR="0005607C" w:rsidRPr="0005607C" w:rsidRDefault="0005607C" w:rsidP="0005607C">
      <w:pPr>
        <w:spacing w:before="120"/>
        <w:ind w:firstLine="567"/>
        <w:jc w:val="both"/>
        <w:rPr>
          <w:sz w:val="28"/>
          <w:szCs w:val="28"/>
        </w:rPr>
      </w:pPr>
      <w:r w:rsidRPr="0005607C">
        <w:rPr>
          <w:sz w:val="28"/>
          <w:szCs w:val="28"/>
        </w:rPr>
        <w:t>Нестеренко Ю.Н., РГГУ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Повышение эффективности национальной экономики, обеспечение конкурентоспособности стран в долгосрочной перспективе, решение региональных социально-экономических проблем, завоевание новых рынков, получение прибыли за счёт более высокой окупаемости вложений не возможно без развития инновационного бизнеса.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Изменения во внешней среде функционирования предприятий, связанные с ускорением научно-технического прогресса, индивидуализацией потребительского спроса, неустойчивой ценовой ситуацией на мировых рынках сырья и топлива и, в связи с этим, с необходимостью проникновения в новые сферы деятельности, предопределили развитие новой формы организации НИОКР - предпринимательских сетей "высокой технологии". Они объединяют крупную производственную компанию, фирмы венчурного капитала и малые инновационные предприятия, занимающиеся разработкой и внедрением новых технологий в области микроэлектроники, биоэнергетики, информатики и других направлениях.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Венчурные сети обеспечивают централизацию инновационных проектов, доведение их до практической реализации и полное финансирование, укрепление позиций предприятий на рынке за счёт диверсификации риска между субъектами структуры и компенсации убытков одних партнеров за счет прибыли других, а также доступ к зарубежным достижениям передовой технологии в случае международной интеграции.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Формирование сетей "высоких технологий" может происходить за счёт внедрения в крупные производственные предприятия матричных организационных структур в виде проектных и научно-исследовательских групп. Целью их создания является укрепление позиций основного производства, поддержание его эффективности, продление жизни материнского предприятия, а также коррекция концепций его развития.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Если же крупная компания ставит задачу освоения принципиально новых продуктов, проникновения в новые области деятельности, то в венчурные сети привлекаются малые предприятия со стороны, которые самостоятельно занимаются как разработкой проектов, так и внедрением их на рынок.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Подобные венчурные структуры обладают большой устойчивостью и минимизируют риски крупного предприятия, связанные с непредсказуемостью результатов НИОКР.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Наиболее характерными способами практической реализации сетей "высоких технологий" являются 1) корпорационные венчуры, для которых характерно два способа формирования: "spin offs" и "spin outs"; 2) внутренняя приватизация (management buy-outs); 3) внешняя приватизация (management buy-in).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Процесс финансирования деятельности венчуров складывается из нескольких стадий в соответствии с этапами реализации научно-технического проекта и фазами жизненного цикла предприятий. Размер финансирования при этом может колебаться от 1 млн. до 100 млн. долларов. Специалисты считают, что преобладающее значение имеет не столько сам механизм инвестирования в проекты и разработки, сколько обеспечение квалифицированного исследования перспектив новой продукции, технологий или стратегий управления.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Движущим мотивом образования предпринимательских сетей "высоких технологий" служит, как правило, не только потребность инновационных предприятий в финансовых средствах, но и необходимость распределения риска деятельности. Поэтому взаимоотношения в венчурных сетях строятся на основе договоров, которые регламентируют пропорциональное распределение как доходов, так и убытков венчура.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 xml:space="preserve">Можно выделить пять основных видов контрактов о венчурном финансировании между малыми предприятиями и крупным: </w:t>
      </w:r>
    </w:p>
    <w:p w:rsidR="0005607C" w:rsidRDefault="0005607C" w:rsidP="0005607C">
      <w:pPr>
        <w:spacing w:before="120"/>
        <w:ind w:firstLine="567"/>
        <w:jc w:val="both"/>
      </w:pPr>
      <w:r w:rsidRPr="00C8593E">
        <w:t xml:space="preserve">1) договор о разделении риска (sharing agreement), определяющий позицию каждой из сторон по отношению к фактору риска; </w:t>
      </w:r>
    </w:p>
    <w:p w:rsidR="0005607C" w:rsidRDefault="0005607C" w:rsidP="0005607C">
      <w:pPr>
        <w:spacing w:before="120"/>
        <w:ind w:firstLine="567"/>
        <w:jc w:val="both"/>
      </w:pPr>
      <w:r w:rsidRPr="00C8593E">
        <w:t xml:space="preserve">2) соглашение о распределении прибыли (earnout agreement); </w:t>
      </w:r>
    </w:p>
    <w:p w:rsidR="0005607C" w:rsidRDefault="0005607C" w:rsidP="0005607C">
      <w:pPr>
        <w:spacing w:before="120"/>
        <w:ind w:firstLine="567"/>
        <w:jc w:val="both"/>
      </w:pPr>
      <w:r w:rsidRPr="00C8593E">
        <w:t xml:space="preserve">3) соглашение, содержащее требования к управленческим и производственным результатам функционирования венчурной сети (performance requirement); </w:t>
      </w:r>
    </w:p>
    <w:p w:rsidR="0005607C" w:rsidRDefault="0005607C" w:rsidP="0005607C">
      <w:pPr>
        <w:spacing w:before="120"/>
        <w:ind w:firstLine="567"/>
        <w:jc w:val="both"/>
      </w:pPr>
      <w:r w:rsidRPr="00C8593E">
        <w:t xml:space="preserve">4) соглашение о будущем финансировании малых предприятий (future financing), согласно которому стороны договариваются о финансировании инвестором первого этапа роста венчура, при этом за ним сохраняется право отказа от последующего финансирования; 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5) соглашение, содержащее условия возможного выкупа крупным предприятием малого.</w:t>
      </w:r>
    </w:p>
    <w:p w:rsidR="0005607C" w:rsidRDefault="0005607C" w:rsidP="0005607C">
      <w:pPr>
        <w:spacing w:before="120"/>
        <w:ind w:firstLine="567"/>
        <w:jc w:val="both"/>
      </w:pPr>
      <w:r w:rsidRPr="00C8593E">
        <w:t>Создание венчурных сетей на основе эффективного партнерства малых, крупных предприятий и финансовых институтов - это основное направление реализации научно-технических программ в нашей стране. Оно позволит осуществлять прямое финансирование научных разработок, будет способствовать смягчению противоречия между необходимостью кардинального обновления научно-производственной основы почти всех отраслей народного хозяйства и невостребованностью колоссального научного потенциала российских ученых, а также даст возможность предприятиям укрепить свои позиции на рынке.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7C"/>
    <w:rsid w:val="00002B5A"/>
    <w:rsid w:val="0005607C"/>
    <w:rsid w:val="00103666"/>
    <w:rsid w:val="00616072"/>
    <w:rsid w:val="006A5004"/>
    <w:rsid w:val="00710178"/>
    <w:rsid w:val="008B35EE"/>
    <w:rsid w:val="00905CC1"/>
    <w:rsid w:val="00AC72A4"/>
    <w:rsid w:val="00B42C45"/>
    <w:rsid w:val="00B47B6A"/>
    <w:rsid w:val="00C8593E"/>
    <w:rsid w:val="00E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E172FA-3751-4236-B589-B1D1418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5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венчурных сетей как стратегическое направление развития инновационного бизнеса</vt:lpstr>
    </vt:vector>
  </TitlesOfParts>
  <Company>Home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венчурных сетей как стратегическое направление развития инновационного бизнеса</dc:title>
  <dc:subject/>
  <dc:creator>User</dc:creator>
  <cp:keywords/>
  <dc:description/>
  <cp:lastModifiedBy>admin</cp:lastModifiedBy>
  <cp:revision>2</cp:revision>
  <dcterms:created xsi:type="dcterms:W3CDTF">2014-02-15T06:02:00Z</dcterms:created>
  <dcterms:modified xsi:type="dcterms:W3CDTF">2014-02-15T06:02:00Z</dcterms:modified>
</cp:coreProperties>
</file>