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D3" w:rsidRPr="0084412C" w:rsidRDefault="009550D3" w:rsidP="008441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2C">
        <w:rPr>
          <w:rFonts w:ascii="Times New Roman" w:hAnsi="Times New Roman" w:cs="Times New Roman"/>
          <w:b/>
          <w:sz w:val="28"/>
          <w:szCs w:val="28"/>
        </w:rPr>
        <w:t>Министерство образования Российской Федерации</w:t>
      </w:r>
    </w:p>
    <w:p w:rsidR="009550D3" w:rsidRPr="0084412C" w:rsidRDefault="009550D3" w:rsidP="008441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2C">
        <w:rPr>
          <w:rFonts w:ascii="Times New Roman" w:hAnsi="Times New Roman" w:cs="Times New Roman"/>
          <w:b/>
          <w:sz w:val="28"/>
          <w:szCs w:val="28"/>
        </w:rPr>
        <w:t>Пензенский Государственный Университет</w:t>
      </w:r>
    </w:p>
    <w:p w:rsidR="009550D3" w:rsidRPr="0084412C" w:rsidRDefault="009550D3" w:rsidP="008441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2C">
        <w:rPr>
          <w:rFonts w:ascii="Times New Roman" w:hAnsi="Times New Roman" w:cs="Times New Roman"/>
          <w:b/>
          <w:sz w:val="28"/>
          <w:szCs w:val="28"/>
        </w:rPr>
        <w:t>Медицинский Институт</w:t>
      </w:r>
    </w:p>
    <w:p w:rsidR="009550D3" w:rsidRPr="0084412C" w:rsidRDefault="009550D3" w:rsidP="008441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0D3" w:rsidRPr="0084412C" w:rsidRDefault="009550D3" w:rsidP="0084412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412C">
        <w:rPr>
          <w:rFonts w:ascii="Times New Roman" w:hAnsi="Times New Roman" w:cs="Times New Roman"/>
          <w:b/>
          <w:sz w:val="28"/>
          <w:szCs w:val="28"/>
        </w:rPr>
        <w:t>Кафедра Травматологии, ортопедии и военно-экстремальной хирургии</w:t>
      </w:r>
    </w:p>
    <w:p w:rsidR="009550D3" w:rsidRPr="0084412C" w:rsidRDefault="009550D3" w:rsidP="009550D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50D3" w:rsidRPr="0084412C" w:rsidRDefault="009550D3" w:rsidP="009550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0D3" w:rsidRPr="0084412C" w:rsidRDefault="009550D3" w:rsidP="009550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0D3" w:rsidRPr="0084412C" w:rsidRDefault="009550D3" w:rsidP="009550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0D3" w:rsidRPr="0084412C" w:rsidRDefault="009550D3" w:rsidP="009550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0D3" w:rsidRPr="0084412C" w:rsidRDefault="009550D3" w:rsidP="009550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50D3" w:rsidRPr="0084412C" w:rsidRDefault="009550D3" w:rsidP="009550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50D3" w:rsidRPr="0084412C" w:rsidRDefault="009550D3" w:rsidP="009550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0D3" w:rsidRPr="007D7B86" w:rsidRDefault="00801446" w:rsidP="008441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B86">
        <w:rPr>
          <w:rFonts w:ascii="Times New Roman" w:hAnsi="Times New Roman" w:cs="Times New Roman"/>
          <w:sz w:val="28"/>
          <w:szCs w:val="28"/>
        </w:rPr>
        <w:t>Доклад</w:t>
      </w:r>
      <w:r w:rsidR="0084412C" w:rsidRPr="007D7B86">
        <w:rPr>
          <w:rFonts w:ascii="Times New Roman" w:hAnsi="Times New Roman" w:cs="Times New Roman"/>
          <w:sz w:val="28"/>
          <w:szCs w:val="28"/>
        </w:rPr>
        <w:t xml:space="preserve"> </w:t>
      </w:r>
      <w:r w:rsidR="009550D3" w:rsidRPr="007D7B86">
        <w:rPr>
          <w:rFonts w:ascii="Times New Roman" w:hAnsi="Times New Roman" w:cs="Times New Roman"/>
          <w:sz w:val="28"/>
          <w:szCs w:val="28"/>
        </w:rPr>
        <w:t>на тему: «</w:t>
      </w:r>
      <w:r w:rsidRPr="007D7B86">
        <w:rPr>
          <w:rFonts w:ascii="Times New Roman" w:hAnsi="Times New Roman" w:cs="Times New Roman"/>
          <w:sz w:val="28"/>
          <w:szCs w:val="28"/>
        </w:rPr>
        <w:t>Геморрагический ш</w:t>
      </w:r>
      <w:r w:rsidR="009550D3" w:rsidRPr="007D7B86">
        <w:rPr>
          <w:rFonts w:ascii="Times New Roman" w:hAnsi="Times New Roman" w:cs="Times New Roman"/>
          <w:sz w:val="28"/>
          <w:szCs w:val="28"/>
        </w:rPr>
        <w:t>ок»</w:t>
      </w:r>
    </w:p>
    <w:p w:rsidR="009550D3" w:rsidRPr="0084412C" w:rsidRDefault="009550D3" w:rsidP="009550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50D3" w:rsidRPr="0084412C" w:rsidRDefault="009550D3" w:rsidP="009550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50D3" w:rsidRPr="0084412C" w:rsidRDefault="009550D3" w:rsidP="009550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0D3" w:rsidRPr="0084412C" w:rsidRDefault="009550D3" w:rsidP="009550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0D3" w:rsidRPr="0084412C" w:rsidRDefault="009550D3" w:rsidP="0084412C">
      <w:pPr>
        <w:spacing w:line="360" w:lineRule="auto"/>
        <w:ind w:left="3591"/>
        <w:jc w:val="right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8441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B4403" w:rsidRPr="0084412C">
        <w:rPr>
          <w:rFonts w:ascii="Times New Roman" w:hAnsi="Times New Roman" w:cs="Times New Roman"/>
          <w:sz w:val="28"/>
          <w:szCs w:val="28"/>
        </w:rPr>
        <w:t xml:space="preserve"> курса </w:t>
      </w:r>
    </w:p>
    <w:p w:rsidR="009550D3" w:rsidRPr="0084412C" w:rsidRDefault="009550D3" w:rsidP="0084412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>Провери</w:t>
      </w:r>
      <w:r w:rsidR="0084412C">
        <w:rPr>
          <w:rFonts w:ascii="Times New Roman" w:hAnsi="Times New Roman" w:cs="Times New Roman"/>
          <w:sz w:val="28"/>
          <w:szCs w:val="28"/>
        </w:rPr>
        <w:t xml:space="preserve">л: </w:t>
      </w:r>
      <w:r w:rsidR="00CB4403" w:rsidRPr="0084412C">
        <w:rPr>
          <w:rFonts w:ascii="Times New Roman" w:hAnsi="Times New Roman" w:cs="Times New Roman"/>
          <w:sz w:val="28"/>
          <w:szCs w:val="28"/>
        </w:rPr>
        <w:t xml:space="preserve">к.м.н., доцент </w:t>
      </w:r>
    </w:p>
    <w:p w:rsidR="009550D3" w:rsidRPr="0084412C" w:rsidRDefault="009550D3" w:rsidP="0084412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0D3" w:rsidRPr="0084412C" w:rsidRDefault="009550D3" w:rsidP="009550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50D3" w:rsidRDefault="009550D3" w:rsidP="009550D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412C" w:rsidRDefault="0084412C" w:rsidP="009550D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412C" w:rsidRDefault="0084412C" w:rsidP="009550D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412C" w:rsidRDefault="0084412C" w:rsidP="009550D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412C" w:rsidRDefault="0084412C" w:rsidP="009550D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412C" w:rsidRDefault="0084412C" w:rsidP="009550D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412C" w:rsidRPr="0084412C" w:rsidRDefault="0084412C" w:rsidP="009550D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412C" w:rsidRDefault="009550D3" w:rsidP="009550D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84412C">
        <w:rPr>
          <w:b/>
          <w:sz w:val="28"/>
          <w:szCs w:val="28"/>
        </w:rPr>
        <w:t>Пенза</w:t>
      </w:r>
      <w:r w:rsidR="00CB4403" w:rsidRPr="0084412C">
        <w:rPr>
          <w:b/>
          <w:sz w:val="28"/>
          <w:szCs w:val="28"/>
        </w:rPr>
        <w:t xml:space="preserve"> </w:t>
      </w:r>
      <w:r w:rsidRPr="0084412C">
        <w:rPr>
          <w:b/>
          <w:sz w:val="28"/>
          <w:szCs w:val="28"/>
        </w:rPr>
        <w:t xml:space="preserve">2008 </w:t>
      </w:r>
    </w:p>
    <w:p w:rsidR="00CB4403" w:rsidRPr="0084412C" w:rsidRDefault="0084412C" w:rsidP="0084412C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550D3" w:rsidRPr="0084412C">
        <w:rPr>
          <w:b/>
          <w:sz w:val="28"/>
          <w:szCs w:val="28"/>
        </w:rPr>
        <w:t>План</w:t>
      </w:r>
    </w:p>
    <w:p w:rsidR="009550D3" w:rsidRPr="0084412C" w:rsidRDefault="009550D3" w:rsidP="0084412C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9550D3" w:rsidRPr="0084412C" w:rsidRDefault="009550D3" w:rsidP="0084412C">
      <w:pPr>
        <w:tabs>
          <w:tab w:val="left" w:pos="426"/>
        </w:tabs>
        <w:spacing w:line="360" w:lineRule="auto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 xml:space="preserve">1. </w:t>
      </w:r>
      <w:r w:rsidRPr="0084412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Общие сведения</w:t>
      </w:r>
    </w:p>
    <w:p w:rsidR="009550D3" w:rsidRPr="0084412C" w:rsidRDefault="009550D3" w:rsidP="0084412C">
      <w:pPr>
        <w:tabs>
          <w:tab w:val="left" w:pos="426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412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2. </w:t>
      </w:r>
      <w:r w:rsidRPr="0084412C">
        <w:rPr>
          <w:rFonts w:ascii="Times New Roman" w:hAnsi="Times New Roman" w:cs="Times New Roman"/>
          <w:bCs/>
          <w:color w:val="000000"/>
          <w:sz w:val="28"/>
          <w:szCs w:val="28"/>
        </w:rPr>
        <w:t>Геморрагический шок</w:t>
      </w:r>
    </w:p>
    <w:p w:rsidR="009550D3" w:rsidRPr="0084412C" w:rsidRDefault="009550D3" w:rsidP="0084412C">
      <w:pPr>
        <w:tabs>
          <w:tab w:val="left" w:pos="426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412C">
        <w:rPr>
          <w:rFonts w:ascii="Times New Roman" w:hAnsi="Times New Roman" w:cs="Times New Roman"/>
          <w:bCs/>
          <w:color w:val="000000"/>
          <w:sz w:val="28"/>
          <w:szCs w:val="28"/>
        </w:rPr>
        <w:t>Клинические проявления</w:t>
      </w:r>
    </w:p>
    <w:p w:rsidR="009550D3" w:rsidRPr="0084412C" w:rsidRDefault="009550D3" w:rsidP="0084412C">
      <w:pPr>
        <w:tabs>
          <w:tab w:val="left" w:pos="426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412C">
        <w:rPr>
          <w:rFonts w:ascii="Times New Roman" w:hAnsi="Times New Roman" w:cs="Times New Roman"/>
          <w:bCs/>
          <w:color w:val="000000"/>
          <w:sz w:val="28"/>
          <w:szCs w:val="28"/>
        </w:rPr>
        <w:t>Лечение</w:t>
      </w:r>
    </w:p>
    <w:p w:rsidR="009550D3" w:rsidRPr="0084412C" w:rsidRDefault="009550D3" w:rsidP="0084412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>Литература</w:t>
      </w:r>
    </w:p>
    <w:p w:rsidR="009550D3" w:rsidRDefault="0031668F" w:rsidP="00E06F9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550D3" w:rsidRPr="0084412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ОБЩИЕ СВЕДЕНИЯ</w:t>
      </w:r>
    </w:p>
    <w:p w:rsidR="0031668F" w:rsidRPr="0084412C" w:rsidRDefault="0031668F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Шок является тем общим знаменателем множества различных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патологических состояний, с которыми приходится иметь де</w:t>
      </w:r>
      <w:r w:rsidRPr="008441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ло в ОНП. Шок — это не диагноз как таковой, ибо за ним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всегда скрывается обусловившее его заболевание. Тем не </w:t>
      </w:r>
      <w:r w:rsidR="0031668F"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="0031668F" w:rsidRPr="0084412C">
        <w:rPr>
          <w:rFonts w:ascii="Times New Roman" w:hAnsi="Times New Roman" w:cs="Times New Roman"/>
          <w:color w:val="000000"/>
          <w:sz w:val="28"/>
          <w:szCs w:val="28"/>
        </w:rPr>
        <w:t>нее,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 при шоке имеет место декомпенсация жизненно важных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функций организма, а потому он требует немедленного рас</w:t>
      </w:r>
      <w:r w:rsidRPr="0084412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познавания и специфического вмешательства. Как и при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многих других состояниях, рациональное лечение шока осно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вывается на глубоком понимании его патофизиологии. В этой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главе приводятся сведения о патофизиологии шока, что </w:t>
      </w:r>
      <w:r w:rsidR="0031668F"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облегчает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всестороннее обсуждение данной проблемы. Вначале 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>мы рассмотрим элементы, общие для всех видов шока, а за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тем детально обсудим его специфические формы. Неадекватная перфузия тканей по-прежнему остается наиболее точным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определением шока. Клетка, являющаяся конечным пунктом нарушения перфузии, погибает, если она на продолжительное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время лишается кислорода и источника энергии. Разрушение достаточно большого количества клеток в жизненно важном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органе делает шок необратимым состоянием, а это означает,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что смерть организма становится неминуемой, несмотря на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нормализацию важных биологических параметров. Разумеет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ся, до наступления такого момента в организме действуют оп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ределенные компенсаторные механизмы, но и они со време</w:t>
      </w:r>
      <w:r w:rsidRPr="0084412C">
        <w:rPr>
          <w:rFonts w:ascii="Times New Roman" w:hAnsi="Times New Roman" w:cs="Times New Roman"/>
          <w:color w:val="000000"/>
          <w:spacing w:val="-8"/>
          <w:sz w:val="28"/>
          <w:szCs w:val="28"/>
        </w:rPr>
        <w:t>нем истощаются.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z w:val="28"/>
          <w:szCs w:val="28"/>
        </w:rPr>
        <w:t>На ранних стадиях шока компенсаторные механизмы на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правлены прежде всего на сохранение нормального сердечного выброса. Высвобождение катехоламинов в этот период обеспе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чивает хронотропное и инотропное действие на сердце, что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приводит к тахикардии и усиленному сокращению миокарда. </w:t>
      </w:r>
      <w:r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Артериальное давление поддерживается благодаря возросшему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периферическому сосудистому сопротивлению, главным образом за счет стимуляции симпатической нервной системы и </w:t>
      </w:r>
      <w:r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циркулирующих в крови катехоламинов. Преднагрузка также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возрастает благодаря сокращению крупных вен. По мере про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грессирования шока происходит перераспределение крови за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счет ее усиленного притока к наиболее жизненно важным ор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ганам и оттока от других органов, таких как кожа, кишечник и мышцы.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более поздних стадиях шока компенсаторные механизмы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ослабевают. Артериальное давление и сердечный выброс пада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ют, что нарушает кровоснабжение жизненно важных органов.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Изменяется и микроциркуляция, что еще более затрудняет передачу кислорода клеткам. Прекапиллярные сфинктеры рас</w:t>
      </w:r>
      <w:r w:rsidR="00E06F9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слабляются, а посткапиллярные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остаются интактными. В результате происходит стагнация кровотока, а также повышенная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агрегация форменных элементов крови. Последнее усиливается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реологическими нарушениями. Изменяется ламинарный ток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крови, отчасти благодаря пропульсивному давлению, продви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гающему кровь. На этой стадии всякий стресс, в норме способ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ствующий изменению формы эритроцитов и, следовательно,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обеспечивающий их продвижение по капиллярам, теряет эту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способность. В результате формируются "монетные столбики" из эритроцитов, что приводит к дальнейшей стагнации крови в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микроциркуляторном русле.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мере истощения компенсаторных усилий организма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функция клетки, прежде способствовавшей поддержанию компенсации, начинает изменяться. Ступенчатое </w:t>
      </w:r>
      <w:r w:rsidR="00E06F94"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прогрессир</w:t>
      </w:r>
      <w:r w:rsidR="00E06F94"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>ование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клеточных изменений при шоке было описано Вайе.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развитие шока в организме первой реагирует клеточная мембрана. Мембранный потенциал падает по мере поступле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ния в клетку натрия и выхода калия. Возникает стимуляция </w:t>
      </w:r>
      <w:r w:rsidRPr="0084412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АТФ-зависимого </w:t>
      </w:r>
      <w:r w:rsidRPr="0084412C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Na</w:t>
      </w:r>
      <w:r w:rsidRPr="0084412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—К-насоса. Усиленно утилизируется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АТФ и стимулируются митохондрии. Клеточный цикл адено-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зинмонофосфата ослабевает, а содержание АТФ в клетке сни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жается еше больше. По мере ухудшения энергетического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снабжения клетки возрастает поступление в нее натрия 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происходит набухание митохондрий и эндоплазматического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ретикулума. В конечном итоге начинается утечка активных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ферментов из лизосом и возникает аутолиз клетки.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Trump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продемонстрировал   несколько   стадий,   характеризующихся</w:t>
      </w:r>
      <w:r w:rsidR="00183C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морфологическими изменениями в клетке во время шока. </w:t>
      </w:r>
      <w:r w:rsidRPr="008441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Наблюдаемые изменения считаются обратимыми до пятой 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стадии, после которой реанимационные мероприятия оказы</w:t>
      </w:r>
      <w:r w:rsidRPr="0084412C">
        <w:rPr>
          <w:rFonts w:ascii="Times New Roman" w:hAnsi="Times New Roman" w:cs="Times New Roman"/>
          <w:color w:val="000000"/>
          <w:spacing w:val="4"/>
          <w:sz w:val="28"/>
          <w:szCs w:val="28"/>
        </w:rPr>
        <w:t>ваются бесполезными.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мере уменьшения снабжения кислородом и энергетиче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скими субстратами клеточный метаболизм становится анаэробным, а его целью является продукция АТФ. Этот в целом малоэффективный метаболизм приводит к образованию молочной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кислоты. В результате в клетке накапливается много кислых 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продуктов и в конечном итоге развивается системная ациде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мия. Ацидотическое состояние (ацидоз) оказывает угнетающее влияние на сократимость миокарда и гладкую мускулатуру со</w:t>
      </w:r>
      <w:r w:rsidRPr="0084412C">
        <w:rPr>
          <w:rFonts w:ascii="Times New Roman" w:hAnsi="Times New Roman" w:cs="Times New Roman"/>
          <w:color w:val="000000"/>
          <w:spacing w:val="-6"/>
          <w:sz w:val="28"/>
          <w:szCs w:val="28"/>
        </w:rPr>
        <w:t>судов.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Вероятно, это именно тот момент, когда исчезают последние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шансы на выживание как отдельных клеток, так и организма в целом. Хотя эта стадия шока четко определяется на клеточном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уровне, при клиническом подходе к больным с шоком ее рас</w:t>
      </w:r>
      <w:r w:rsidRPr="0084412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познавание по каким-либо признакам вряд ли возможно. </w:t>
      </w:r>
      <w:r w:rsidRPr="0084412C">
        <w:rPr>
          <w:rFonts w:ascii="Times New Roman" w:hAnsi="Times New Roman" w:cs="Times New Roman"/>
          <w:color w:val="000000"/>
          <w:sz w:val="28"/>
          <w:szCs w:val="28"/>
          <w:lang w:val="en-US"/>
        </w:rPr>
        <w:t>Schwartz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допускает, что внезапное и значительное уменьшение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потребления кислорода может служить маркером необратимого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шока. Исследования на животных свидетельствуют в пользу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данного положения, однако его клинического подтверждения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пока нет.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шоке естественные компенсаторные механизмы в сово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купности направлены на сохранение целлюлярной перфузии и, следовательно, на предотв</w:t>
      </w:r>
      <w:r w:rsidR="00183CB5">
        <w:rPr>
          <w:rFonts w:ascii="Times New Roman" w:hAnsi="Times New Roman" w:cs="Times New Roman"/>
          <w:color w:val="000000"/>
          <w:sz w:val="28"/>
          <w:szCs w:val="28"/>
        </w:rPr>
        <w:t>ращение гибели. Помимо гемодина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мической компенсации, в это время осуществляется множество нейрогенных и эндокринных реакций, направленных на опти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>мизацию кровотока и передачу адекватных нутриентов клет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кам. Гормональные реакции на шок опосредуются преимущественно гипоталамусом. Посл</w:t>
      </w:r>
      <w:r w:rsidR="00183CB5">
        <w:rPr>
          <w:rFonts w:ascii="Times New Roman" w:hAnsi="Times New Roman" w:cs="Times New Roman"/>
          <w:color w:val="000000"/>
          <w:sz w:val="28"/>
          <w:szCs w:val="28"/>
        </w:rPr>
        <w:t>едний косвенно ответствен за вы</w:t>
      </w:r>
      <w:r w:rsidR="00183CB5" w:rsidRPr="0084412C">
        <w:rPr>
          <w:rFonts w:ascii="Times New Roman" w:hAnsi="Times New Roman" w:cs="Times New Roman"/>
          <w:color w:val="000000"/>
          <w:sz w:val="28"/>
          <w:szCs w:val="28"/>
        </w:rPr>
        <w:t>своб</w:t>
      </w:r>
      <w:r w:rsidR="00183CB5">
        <w:rPr>
          <w:rFonts w:ascii="Times New Roman" w:hAnsi="Times New Roman" w:cs="Times New Roman"/>
          <w:color w:val="000000"/>
          <w:sz w:val="28"/>
          <w:szCs w:val="28"/>
        </w:rPr>
        <w:t>ождение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 гормона роста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гормоны"наряду с инсулином и глюкагоном обеспечи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вают аде</w:t>
      </w:r>
      <w:r w:rsidR="00183CB5">
        <w:rPr>
          <w:rFonts w:ascii="Times New Roman" w:hAnsi="Times New Roman" w:cs="Times New Roman"/>
          <w:color w:val="000000"/>
          <w:sz w:val="28"/>
          <w:szCs w:val="28"/>
        </w:rPr>
        <w:t xml:space="preserve">кватное снабжение и утилизацию.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клетками глюкозы. Аналогичным образом катехоламйны повышают содержание глюкозы _в крови" (помимо их гемодинамического эффекта).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Кроме того, при шоке стимулируется высвобождение антидиу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ретического гормона, ренина и ангиотензина. Все они </w:t>
      </w:r>
      <w:r w:rsidR="00183CB5"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оказы</w:t>
      </w:r>
      <w:r w:rsidR="00183CB5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вать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положительное влияние на гемодинамику и объем циркулирующей крови.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Цель врача в борьбе с шоком состоит в замещении естественных реакций организма на шок (ввиду их недостаточности),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т. е. в поддержании жизненно важных функций организма 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устранении причины шокового состояния. Для ее осуществле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 необходим мониторинг множества параметров, характеризующих гемодинамику и обеспечивающих оценку ответных ре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акций организма на шок. Такие очевидные клинические пара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метры, как состояние сознания и диурез, являются важными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показателями (у постели больного) состояния перфузии жизненно важных органов. Другие показатели, такие как артери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альное давление, пульс, пульсовое давление, безусловно, также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имеют большое клиническое значение при лечении шокового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состояния. Для борьбы с шоком могут использоваться и более 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сложные инвазивные методы. Однако применение многих из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них, кроме измерения центрального венозного давления, вряд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ли возможно в условиях ОНП, хотя они, несомненно, обеспечивают получение важной информации как в диагностическом,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так и в лечебном плане у очень тяжелых больных.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Морфологические изменения в клетке во время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шока</w:t>
      </w:r>
    </w:p>
    <w:p w:rsidR="009550D3" w:rsidRPr="0084412C" w:rsidRDefault="009550D3" w:rsidP="00E06F9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2"/>
          <w:w w:val="96"/>
          <w:sz w:val="28"/>
          <w:szCs w:val="28"/>
        </w:rPr>
        <w:t xml:space="preserve"> </w:t>
      </w:r>
      <w:r w:rsidRPr="0084412C">
        <w:rPr>
          <w:rFonts w:ascii="Times New Roman" w:hAnsi="Times New Roman" w:cs="Times New Roman"/>
          <w:sz w:val="28"/>
          <w:szCs w:val="28"/>
        </w:rPr>
        <w:t>Набухание цитоплазмы и эндоплазматического ретикулума;</w:t>
      </w:r>
    </w:p>
    <w:p w:rsidR="009550D3" w:rsidRPr="0084412C" w:rsidRDefault="009550D3" w:rsidP="00E06F94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>Митохондрии сжимаются, внутренние отделы клетки становятся меньше и плотнее;</w:t>
      </w:r>
    </w:p>
    <w:p w:rsidR="009550D3" w:rsidRPr="0084412C" w:rsidRDefault="009550D3" w:rsidP="00E06F94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>Набухание митохондрий;</w:t>
      </w:r>
    </w:p>
    <w:p w:rsidR="009550D3" w:rsidRPr="0084412C" w:rsidRDefault="009550D3" w:rsidP="00E06F94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>Продолжение набухания митохондрий, появление комочков свернувшегося плотного вещества;</w:t>
      </w:r>
    </w:p>
    <w:p w:rsidR="009550D3" w:rsidRPr="0084412C" w:rsidRDefault="009550D3" w:rsidP="00E06F94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>Разрыв клеточной мембраны и исчезновение лизосом;</w:t>
      </w:r>
    </w:p>
    <w:p w:rsidR="00F64430" w:rsidRDefault="009550D3" w:rsidP="00E06F94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>Клетка представляет собой распадающуюся массу.</w:t>
      </w:r>
    </w:p>
    <w:p w:rsidR="009550D3" w:rsidRPr="00F64430" w:rsidRDefault="00F64430" w:rsidP="00F64430">
      <w:pPr>
        <w:shd w:val="clear" w:color="auto" w:fill="FFFFFF"/>
        <w:tabs>
          <w:tab w:val="left" w:pos="88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4430">
        <w:rPr>
          <w:rFonts w:ascii="Times New Roman" w:hAnsi="Times New Roman" w:cs="Times New Roman"/>
          <w:sz w:val="28"/>
          <w:szCs w:val="28"/>
        </w:rPr>
        <w:br w:type="page"/>
      </w:r>
      <w:r w:rsidR="009550D3" w:rsidRPr="00F6443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2. ГЕМОРРАГИЧЕСКИЙ ШОК</w:t>
      </w:r>
    </w:p>
    <w:p w:rsidR="00F64430" w:rsidRDefault="00F64430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Причиной геморрагического шока, конечно же, являетея кро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вопотеря. Основы патофизиологии этого шока едины и не за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висят от характера кровотечения (</w:t>
      </w:r>
      <w:r w:rsidR="00F64430"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внутреннее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или наружное) и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его связи с травмой, желудочно-кишечным кровотечением или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разрывом аневризмы аорты. Кровяное давление и минутный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объем снижаются вследствие уменьшения объема циркулирую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щей крови. Объемный дефицит крови воспринимается рецепторами, находящимися в сердце и сонных артериях, благодаря чему включается центральный нейрогуморальный компенса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торный механизм, о котором говорилось выше.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Другим компенсаторным механизмом, функционирующим </w:t>
      </w:r>
      <w:r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 геморрагическом шоке, является аутотрансфузия </w:t>
      </w:r>
      <w:r w:rsidR="00F64430"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интерстиц</w:t>
      </w:r>
      <w:r w:rsidR="00F64430"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иальной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жидкости в сосудистое русло. Этот ток </w:t>
      </w:r>
      <w:r w:rsidR="00F64430"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интерстициальной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жидкости объясняется законом Стерлинга: действующие си</w:t>
      </w:r>
      <w:r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лы — это коллоидно-осмотическое давление и гидростатическое 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давление как в сосудах, так и в интерстиции. При динамическом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равновесии эти давления нормально сбалансированы. При кро</w:t>
      </w:r>
      <w:r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вопотере этот баланс нарушается. Гидростатическое давление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снижается, способствуя возникновению градиента давления, на</w:t>
      </w:r>
      <w:r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правляющего ток жидкости из интерстиция в сосудистое русло. 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Интерстициальная жидкость восполняет внутрисосудистый объ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ем циркулирующей жидкости на несколько часов при условии, что кровопотеря не является катастрофической.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412C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Клинические проявления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Клинические проявления геморрагического шока хорошо из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вестны. На ранней стадии больной может выглядеть относи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тельно нормально, но у него появляется тахикардия в покое и уменьшается пульсовое давление; возможны также </w:t>
      </w:r>
      <w:r w:rsidR="00F64430"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ортостатич</w:t>
      </w:r>
      <w:r w:rsidR="00F64430"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еские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изменения пульса и кровяного давления. При достаточ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 большой кровопотере кожа становится холодной и влажной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вследствие оттока крови к жизненно важным органам. Моло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дые больные могут и не иметь каких-либо других проявлений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кровотечения, несмотря на то что дефицит объема циркули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рующей крови достигает 25—30 </w:t>
      </w:r>
      <w:r w:rsidRPr="0084412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%.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Ниже этого предела или на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более ранней стадии кровопотери у более ослабленных боль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наблюдается резкое падение кровяного давления и сердеч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ного выброса. Поэтому необходимы раннее выявление призна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ков геморрагического шока и его агрессивное лечение для пре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дотвращения декомпенсации.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12C">
        <w:rPr>
          <w:rFonts w:ascii="Times New Roman" w:hAnsi="Times New Roman" w:cs="Times New Roman"/>
          <w:b/>
          <w:i/>
          <w:sz w:val="28"/>
          <w:szCs w:val="28"/>
        </w:rPr>
        <w:t>Лечение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Цель лечебных мероприятий при геморрагическом шоке — бы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строе восстановление объема циркулирующей крови, точная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диагностика и коррекция источника кровотечения. Обеспечение венозного доступа является главным условием восполне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ния объема циркулирующей крови (ОЦК), но для выполнения этих мероприятий больного можно поместить в положение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Тренделенбурга и надеть на него военные противошоковые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брюки (ВПШБ). Эти два приема помогают сдвинуть ОЦК с пе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риферии к центральной циркуляции. ВПШБ создают некото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рую аутогемотрансфузию и повышают сосудистое сопротивле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ние, что приводит к возрастанию системного кровяного давле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 и усилению притока крови к жизненно важным органам. Эффективность ВПШБ оценивалась в ряде исследований. Хотя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ни в одном из исследований их польза не отвергается одно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значно, их применение в будущем может сократиться. Но пока наступят такие времена, ВПШБ должны оставаться в реквизите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отделений догоспитальной неотложной помощи.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Количество, типы и точная локализация внутривенных сис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тем, необходимых для реанимационных мероприятий, — это прерогатива лечащего врача.</w:t>
      </w:r>
      <w:r w:rsidR="00F644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Как правило, установление широ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копросветных периферических внутривенных систем обеспечи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вает достаточную скорость инфузии жидкости и служит осно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вой лечения в таких случаях.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Использование центральных внутривенных систем противо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речиво, поскольку измерение центрального венозного давления (ЦВД) не всегда бывает информативным или необходимым при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очевидной кровопотере. Кроме того, установление таких сис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 чревато осложнениями. С другой стороны, у нестабильных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больных, у пострадавших с пенетрирующей травмой грудной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клетки и у пациентов с небольшим кардиоваскулярным резер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вом ЦВД-мониторинг может быть полезным при планирова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нии реанимационных мероприятий.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Количество устанавливаемых в/в линий зависит от объема 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кровопотери и тяжести состояния больного. Ввиду отсутствия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специального расчета в отношении необходимого количества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в/в систем можно руководствоваться следующим принципом: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лучше слишком много, чем слишком мало. Венесекция обычно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резервируется для пациентов с очень плохими периферически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 венами или для очень тяжелых больных с массивной кровопотере й, которые требуют максимальных усилий при первона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чальных реанимационных мероприятиях. Если необходима </w:t>
      </w:r>
      <w:r w:rsidR="00F64430"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ве</w:t>
      </w:r>
      <w:r w:rsidR="00F64430"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несекция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то дистальный отдел "вены сафены" имеет целый ряд преимуществ. Она отличается анатомической стабильностью, 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является поверхностным сосудом, пригодна для введения ши</w:t>
      </w:r>
      <w:r w:rsidRPr="008441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рокопросветных канюль и может использоваться вместе с 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ВПШБ при условии, что к системе будет подключена помпа </w:t>
      </w:r>
      <w:r w:rsidRPr="0084412C">
        <w:rPr>
          <w:rFonts w:ascii="Times New Roman" w:hAnsi="Times New Roman" w:cs="Times New Roman"/>
          <w:color w:val="000000"/>
          <w:spacing w:val="-9"/>
          <w:sz w:val="28"/>
          <w:szCs w:val="28"/>
        </w:rPr>
        <w:t>для крови.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Количество и вид внутривенной жидкости, используемой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при геморрагическом шоке, зависит от количества кровопоте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ри, а также от наличия кровотечения в момент переливания. За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исключением случаев массивного кровотечения, вначале про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дукты крови обычно не являются необходимыми. Первые ме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роприятия заключаются в заборе крови для определения ее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фуппы и реакции на совместимость и начале жидкостной терапии кристаллоидами или коллоидами. Хотя в этом отноше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нии существуют определенные противоречия, в большинстве реанимационных центров в качестве начальной в/в жидкости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используются рингеровский раствор лактата или обычный со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левой раствор, а не коллоиды. Есть учесть эффективность обо-их видов жидкости, отсутствие дополнительного риска возник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новения респираторного дистресс-синдрома взрослых (РДСВ)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существенную разницу в стоимости, то кристаллоидный рас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твор для начальной терапии представляется раствором выбора.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Другие растворы, такие как декстран и гетастарч (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hetastarch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),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в качестве заместительной жидкости в настоящее время рутин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не используются. Недавние исследования показали пер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спективность в этом отношении гипертонического солевого </w:t>
      </w:r>
      <w:r w:rsidRPr="0084412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раствора (7,5 %) самого по себе или вместе с декстраном-70.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В эксперименте на животных документально показано сущест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венное улучшение витальных параметров при использовании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меньших объемов переливаемой жидкости (4 мл/кг). Эта рабо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та может иметь большое практическое значение, особенно для догоспитальных учреждений, где врачи имеют слишком мало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времени для инфузирования стандартного кристаллоидного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раствора в достаточном количестве для достижения значитель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терапевтического эффекта.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 отношении начала трансфузии принимается на 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основании общей клинической картины, состояния больного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поступлении и его реакции на инфузию кристаллоидного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раствора, а также от контролируемости кровотечения. Если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больной при поступлении находится при смерти, следует не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медленно начать переливание крови нулевой группы. Чаще же гемотрансфузию начинают после введения 2—4 л кристаллоид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раствора при условии, что у больного сохраняются при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знаки гиповолемии или продолжается кровотечение. В таких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случаях переливание одногруппной крови вполне безопасно, к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тому же ее можно получить через 10—15 мин.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Другим фактором, определяющим начало гемотрансфузии,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является гематокрит. Поскольку для поступления интерстици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альной жидкости в сосудистое русло требуется определенное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время, дилюция гематокрита вначале не наблюдается и, следовательно, не может точно отражать объем циркулирующей кро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ви. Исключение составляют больные с массивной кровопоте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рей и низким гематокритом при поступлении. И хотя этот показатель гематокрита не является точным отражением объема крови, он служит индикатором тяжелого кровотечения и, следовательно, необходимости гемотрансфузии. Еще одной функцией начального исследования гематокрита является установ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ление его исходного значения. Повторные определения гема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токрита могут затем использоваться для грубой оценки кровопотери и могут помочь в принятии решения относительно гемотрансфузии.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касается остальных лечебных мероприятий при геморра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гическом шоке, то они сводятся к контролю жизненно важных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показателей диуреза и гематокрита. Нестабильным больным в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конечном итоге может быть показан более инвазивный мониторинг с установлением ЦВД-катетера, внутриартериальных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инфузионных систем и катетера Сван-Ганца. Установка вышеназванных систем может быть отложена до перевода больного в отделение интенсивной терапии. Другие осуществляемые меро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приятия включают получение крови для поддержания исход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ных показателей функции свертывания, подсчет тромбоцитов, исследование электролитов, проведение кардиомониторинга 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применение дополнительного кислорода.</w:t>
      </w:r>
    </w:p>
    <w:p w:rsidR="00801446" w:rsidRDefault="00F64430" w:rsidP="00F644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01446" w:rsidRPr="0084412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64430" w:rsidRPr="0084412C" w:rsidRDefault="00F64430" w:rsidP="00F644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1446" w:rsidRPr="0084412C" w:rsidRDefault="00801446" w:rsidP="00F6443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84412C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Перевод с английского д-ра мед. наук В.И.Кандрора,</w:t>
      </w:r>
      <w:r w:rsidRPr="0084412C">
        <w:rPr>
          <w:rFonts w:ascii="Times New Roman" w:hAnsi="Times New Roman" w:cs="Times New Roman"/>
          <w:sz w:val="28"/>
          <w:szCs w:val="28"/>
        </w:rPr>
        <w:t xml:space="preserve"> </w:t>
      </w:r>
      <w:r w:rsidRPr="0084412C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д. м. н. М.В.Неверовой, д-ра мед. наук А.В.Сучкова,</w:t>
      </w:r>
      <w:r w:rsidRPr="0084412C">
        <w:rPr>
          <w:rFonts w:ascii="Times New Roman" w:hAnsi="Times New Roman" w:cs="Times New Roman"/>
          <w:sz w:val="28"/>
          <w:szCs w:val="28"/>
        </w:rPr>
        <w:t xml:space="preserve"> </w:t>
      </w:r>
      <w:r w:rsidRPr="0084412C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801446" w:rsidRPr="0084412C" w:rsidRDefault="00801446" w:rsidP="00F64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412C" w:rsidRPr="0084412C" w:rsidRDefault="0084412C" w:rsidP="00F64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412C" w:rsidRPr="0084412C" w:rsidSect="0084412C">
      <w:footerReference w:type="even" r:id="rId7"/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BA" w:rsidRDefault="00417DBA">
      <w:r>
        <w:separator/>
      </w:r>
    </w:p>
  </w:endnote>
  <w:endnote w:type="continuationSeparator" w:id="0">
    <w:p w:rsidR="00417DBA" w:rsidRDefault="0041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46" w:rsidRDefault="00801446" w:rsidP="00345C52">
    <w:pPr>
      <w:pStyle w:val="a4"/>
      <w:framePr w:wrap="around" w:vAnchor="text" w:hAnchor="margin" w:xAlign="right" w:y="1"/>
      <w:rPr>
        <w:rStyle w:val="a6"/>
        <w:rFonts w:cs="Arial"/>
      </w:rPr>
    </w:pPr>
  </w:p>
  <w:p w:rsidR="00801446" w:rsidRDefault="00801446" w:rsidP="009550D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46" w:rsidRDefault="001F3B05" w:rsidP="00345C52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801446" w:rsidRDefault="00801446" w:rsidP="009550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BA" w:rsidRDefault="00417DBA">
      <w:r>
        <w:separator/>
      </w:r>
    </w:p>
  </w:footnote>
  <w:footnote w:type="continuationSeparator" w:id="0">
    <w:p w:rsidR="00417DBA" w:rsidRDefault="0041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318"/>
    <w:multiLevelType w:val="hybridMultilevel"/>
    <w:tmpl w:val="BC0A6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CF3D8C"/>
    <w:multiLevelType w:val="hybridMultilevel"/>
    <w:tmpl w:val="B324DF8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6A272702"/>
    <w:multiLevelType w:val="hybridMultilevel"/>
    <w:tmpl w:val="8B34B578"/>
    <w:lvl w:ilvl="0" w:tplc="16B228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0D3"/>
    <w:rsid w:val="00183CB5"/>
    <w:rsid w:val="001F3B05"/>
    <w:rsid w:val="0031668F"/>
    <w:rsid w:val="00345C52"/>
    <w:rsid w:val="00417DBA"/>
    <w:rsid w:val="0052134C"/>
    <w:rsid w:val="007D7B86"/>
    <w:rsid w:val="00801446"/>
    <w:rsid w:val="0084412C"/>
    <w:rsid w:val="009550D3"/>
    <w:rsid w:val="00A10CD1"/>
    <w:rsid w:val="00CB4403"/>
    <w:rsid w:val="00E06F94"/>
    <w:rsid w:val="00F64430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682FDD-2CD6-4AC3-B8DA-CED67148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9550D3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550D3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955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</w:rPr>
  </w:style>
  <w:style w:type="character" w:styleId="a6">
    <w:name w:val="page number"/>
    <w:uiPriority w:val="99"/>
    <w:rsid w:val="009550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2014-02-24T22:19:00Z</dcterms:created>
  <dcterms:modified xsi:type="dcterms:W3CDTF">2014-02-24T22:19:00Z</dcterms:modified>
</cp:coreProperties>
</file>