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434" w:rsidRDefault="004C3CF2">
      <w:pPr>
        <w:pStyle w:val="Mystyle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Генные болезни</w:t>
      </w:r>
    </w:p>
    <w:p w:rsidR="000A0434" w:rsidRDefault="000A0434">
      <w:pPr>
        <w:pStyle w:val="Mystyle"/>
      </w:pPr>
    </w:p>
    <w:p w:rsidR="000A0434" w:rsidRDefault="004C3CF2">
      <w:pPr>
        <w:pStyle w:val="Mystyle"/>
      </w:pPr>
      <w:r>
        <w:t xml:space="preserve">       Это группа болезней, в основе развития которых лежат нарушения числа или структуры хромосом, возникающие в гаметах родителей или на ранних стадиях дробления зиготы. История изучения Х.б. берет начало с кинических исследований, проводившихся задолго до описания хромосом человека и открытия хромосомных аномалий. Х.б. - болезнь Дауна (трисомия 21) ,  синдромы: Тернера (трисомия 18), Клайнфелтера, Патау (трисомия 13), Эдвардса.</w:t>
      </w:r>
    </w:p>
    <w:p w:rsidR="000A0434" w:rsidRDefault="004C3CF2">
      <w:pPr>
        <w:pStyle w:val="Mystyle"/>
      </w:pPr>
      <w:r>
        <w:t xml:space="preserve">      С разработкой метода авторадиографии стала возможной идентификация некоторых индивидуальных хромосом, что способствовало открытию</w:t>
      </w:r>
      <w:r>
        <w:rPr>
          <w:lang w:val="en-US"/>
        </w:rPr>
        <w:t xml:space="preserve"> </w:t>
      </w:r>
      <w:r>
        <w:t>группы Х.б., связанных со структурными перестройками хромосом. Интенсивное развитие учения о Х.б. началось в 70х годах</w:t>
      </w:r>
      <w:r>
        <w:rPr>
          <w:lang w:val="en-US"/>
        </w:rPr>
        <w:t xml:space="preserve"> </w:t>
      </w:r>
      <w:r>
        <w:t>20 в. после разработки методов дифференциального окрашивания хромосом.</w:t>
      </w:r>
    </w:p>
    <w:p w:rsidR="000A0434" w:rsidRDefault="004C3CF2">
      <w:pPr>
        <w:pStyle w:val="Mystyle"/>
      </w:pPr>
      <w:r>
        <w:t xml:space="preserve">         Классификация Х.б. основана на типах мутаций вовлеченных в них хромосом. Мутации в половых клетках приводят к развитию полных форм Х.б., при которых все клетки организма имеют одну и ту же хромосомную аномалию.</w:t>
      </w:r>
    </w:p>
    <w:p w:rsidR="000A0434" w:rsidRDefault="004C3CF2">
      <w:pPr>
        <w:pStyle w:val="Mystyle"/>
      </w:pPr>
      <w:r>
        <w:t xml:space="preserve">         В наст. Время описано 2 варианта нарушений числа хромосомных наборов - тетраплоидия и триплодия. Другая группа синдромов</w:t>
      </w:r>
      <w:r>
        <w:rPr>
          <w:lang w:val="en-US"/>
        </w:rPr>
        <w:t xml:space="preserve"> </w:t>
      </w:r>
      <w:r>
        <w:t>обусловлена нарушениями числа отдельных хромосом – трисомиями</w:t>
      </w:r>
      <w:r>
        <w:rPr>
          <w:lang w:val="en-US"/>
        </w:rPr>
        <w:t xml:space="preserve"> </w:t>
      </w:r>
      <w:r>
        <w:t>(когда имеется добавочная хромосома в диплоидном наборе) или моносомия (одна из хромосом отсутствует).Моносомии аутосом несовместимы с жизнью . Трисомии - более часто встречающаяся паталогия у человека . Ряд хромосомных болезней связан с нарушением числа половых хромосом.</w:t>
      </w:r>
    </w:p>
    <w:p w:rsidR="000A0434" w:rsidRDefault="004C3CF2">
      <w:pPr>
        <w:pStyle w:val="Mystyle"/>
      </w:pPr>
      <w:r>
        <w:tab/>
        <w:t>Самая многочисленная группа  Х.б.-  это синдромы, обусловленные структурными перестройками хромосом. Выделяют хромосомные синдромы так называемых частичных моносомий (увеличение или уменьшение числа отдельных хромосом не на целую хромосому, а на ее часть).</w:t>
      </w:r>
    </w:p>
    <w:p w:rsidR="000A0434" w:rsidRDefault="004C3CF2">
      <w:pPr>
        <w:pStyle w:val="Mystyle"/>
      </w:pPr>
      <w:r>
        <w:tab/>
        <w:t>В связи с тем, что подавляющая часть хромосомных аномалий</w:t>
      </w:r>
      <w:r>
        <w:rPr>
          <w:lang w:val="en-US"/>
        </w:rPr>
        <w:t xml:space="preserve"> </w:t>
      </w:r>
      <w:r>
        <w:t xml:space="preserve">относится к категории летальных мутаций, для характеристики их количественных параметров используются 2 показателя - частота распространениея и частота возникновения. </w:t>
      </w:r>
    </w:p>
    <w:p w:rsidR="000A0434" w:rsidRDefault="004C3CF2">
      <w:pPr>
        <w:pStyle w:val="Mystyle"/>
      </w:pPr>
      <w:r>
        <w:t xml:space="preserve">        Выяснено, что около 170 из 1000 эмбрионов и плодов погибают</w:t>
      </w:r>
      <w:r>
        <w:rPr>
          <w:lang w:val="en-US"/>
        </w:rPr>
        <w:t xml:space="preserve"> </w:t>
      </w:r>
      <w:r>
        <w:t>до рождения, из них около 40% - вследствие влияния хромосомных нарушений. Тем не менее, значительная часть мутантов (носителей</w:t>
      </w:r>
      <w:r>
        <w:rPr>
          <w:lang w:val="en-US"/>
        </w:rPr>
        <w:t xml:space="preserve"> </w:t>
      </w:r>
      <w:r>
        <w:t>хромосомной аномалии) минует действие внутриутробного отбора .</w:t>
      </w:r>
    </w:p>
    <w:p w:rsidR="000A0434" w:rsidRDefault="004C3CF2">
      <w:pPr>
        <w:pStyle w:val="Mystyle"/>
      </w:pPr>
      <w:r>
        <w:t>Но некоторые из них погибают в раннем</w:t>
      </w:r>
      <w:r>
        <w:rPr>
          <w:lang w:val="en-US"/>
        </w:rPr>
        <w:t xml:space="preserve"> детстве</w:t>
      </w:r>
      <w:r>
        <w:t>. Больные с аномалиями половых хромосом из - за нарушений полового развития , как правило, не оставляют потомства. Отсюда следует - все аномалии можно отнести к мутациям. Показано ,что в общем случае хромосомные мутации почти полностью изчезают из популяции через 15 - 17 поколений .</w:t>
      </w:r>
    </w:p>
    <w:p w:rsidR="000A0434" w:rsidRDefault="004C3CF2">
      <w:pPr>
        <w:pStyle w:val="Mystyle"/>
      </w:pPr>
      <w:r>
        <w:t xml:space="preserve">       Для всех форм Х.б. общим признаком является множественность нарушений (врожденные пороки развития). Общими проявлениями  Х.б. являются: задержка физического и психомоторного развития, умственная отсталость, костно-мышечные аномалии, пороки сердечно - сосудистой, мочеполовой, нервной  и др. систем, отклонение в гормональном, биохимическом и иммунологическом статусе и др.</w:t>
      </w:r>
    </w:p>
    <w:p w:rsidR="000A0434" w:rsidRDefault="004C3CF2">
      <w:pPr>
        <w:pStyle w:val="Mystyle"/>
      </w:pPr>
      <w:r>
        <w:tab/>
        <w:t xml:space="preserve">Степень поражения органов при Х.б. зависит от многих факторов - типа хромосомной аномалии, недостающего или избыточного материала индивидуальной хромосомы, генотипа организма, условий среды, в котором развивается организм. </w:t>
      </w:r>
    </w:p>
    <w:p w:rsidR="000A0434" w:rsidRDefault="004C3CF2">
      <w:pPr>
        <w:pStyle w:val="Mystyle"/>
      </w:pPr>
      <w:r>
        <w:t xml:space="preserve">       Этиологическое лечение Х.б. в настоящее время не разработано.</w:t>
      </w:r>
    </w:p>
    <w:p w:rsidR="000A0434" w:rsidRDefault="004C3CF2">
      <w:pPr>
        <w:pStyle w:val="Mystyle"/>
      </w:pPr>
      <w:r>
        <w:t xml:space="preserve">       Разработка методов пренатальной диагностики делает этот подход эффективным в борьбе не только с хромосомными, но и с др. наследственными болезнями. </w:t>
      </w:r>
    </w:p>
    <w:p w:rsidR="000A0434" w:rsidRDefault="004C3CF2">
      <w:pPr>
        <w:pStyle w:val="Mystyle"/>
        <w:rPr>
          <w:snapToGrid w:val="0"/>
          <w:lang w:val="en-US"/>
        </w:rPr>
      </w:pPr>
      <w:r>
        <w:rPr>
          <w:snapToGrid w:val="0"/>
          <w:lang w:val="en-US"/>
        </w:rPr>
        <w:t>К настоящему времени на хромосомах человека картировано около 800 генов, мутации которых приводят к различным наследственным заболеваниям. Количество моногенных заболеваний, для которых известна локализация контролирующего гена, еще больше и приближается к 950 за счет существования аллельных серий, то есть групп болезней, клинически сильно отличающихся друг от друга, но обусловленных мутациями в одном и том же гене . Для всех этих заболеваний принципиально возможна пренатальная диагностика с использованием косвенных методов молекулярного анализа .</w:t>
      </w:r>
    </w:p>
    <w:p w:rsidR="000A0434" w:rsidRDefault="004C3CF2">
      <w:pPr>
        <w:pStyle w:val="Mystyle"/>
        <w:rPr>
          <w:snapToGrid w:val="0"/>
          <w:lang w:val="en-US"/>
        </w:rPr>
      </w:pPr>
      <w:r>
        <w:rPr>
          <w:snapToGrid w:val="0"/>
          <w:lang w:val="en-US"/>
        </w:rPr>
        <w:t>Более половины картированных генов клонировано и охарактеризовано методами молекулярного анализа. Для каждого из этих генов описаны мутантные варианты среди соответствующих групп больных, причем количество идентифицированных аллелей в разных генах может колебаться от одного до нескольких сотен (см.ниже). Молекулярное генотипирование мутации позволяет проводить прямую пренатальную диагностику соответствующего наследственного заболевания в семьях высокого риска.</w:t>
      </w:r>
    </w:p>
    <w:p w:rsidR="000A0434" w:rsidRDefault="004C3CF2">
      <w:pPr>
        <w:pStyle w:val="Mystyle"/>
      </w:pPr>
      <w:r>
        <w:t>Другое положение, которое следует напомнить в вводной части этой главы касается специфичности мутационных повреждений каждого структурного гена.  Несмотря на наличие общих закономерностей в мутационных процессах, спектр мутаций для каждого гена, равно как и сами структурные гены —уникальны. Причины этой уникальности кроются в особенностях первичной структуры ДНК каждого гена, в частности, обогащенности CG нуклеотидами, его размерах, наличии прямых и обращенных повторов, присутствии внутри гена ДНК последовательностей, гомологичных внегенным участкам, что может приводть к нарушениям процессов рекомбинации в мейозе и.т.д. Для каждого идентифицированного гена, мутации которого приводят к наследственным заболеваниям, разработаны эффективные методы молекулярной диагностики, как правило, направленные на генотипирование наиболее частых мутаций этого гена. Реже для этих же целей используется непрямой метод диагностики с помощью молекулярных маркеров.</w:t>
      </w:r>
    </w:p>
    <w:p w:rsidR="000A0434" w:rsidRDefault="000A0434">
      <w:pPr>
        <w:pStyle w:val="Mystyle"/>
      </w:pPr>
    </w:p>
    <w:p w:rsidR="000A0434" w:rsidRDefault="004C3CF2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Примеры болезней</w:t>
      </w:r>
    </w:p>
    <w:p w:rsidR="000A0434" w:rsidRDefault="004C3CF2">
      <w:pPr>
        <w:pStyle w:val="Mystyle"/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Адрено-генитальный синдром.</w:t>
      </w:r>
    </w:p>
    <w:p w:rsidR="000A0434" w:rsidRDefault="004C3CF2">
      <w:pPr>
        <w:pStyle w:val="Mystyle"/>
        <w:rPr>
          <w:snapToGrid w:val="0"/>
          <w:lang w:val="en-US"/>
        </w:rPr>
      </w:pPr>
      <w:r>
        <w:rPr>
          <w:snapToGrid w:val="0"/>
          <w:lang w:val="en-US"/>
        </w:rPr>
        <w:t>Адрено-генитальный синдром —(врожденный дефицит 21</w:t>
      </w:r>
      <w:r>
        <w:rPr>
          <w:snapToGrid w:val="0"/>
          <w:lang w:val="en-US"/>
        </w:rPr>
        <w:noBreakHyphen/>
        <w:t>гидроксилазы) —достаточно распространенное аутосомно-рецессивное заболевание. Частота “классических”форм 1:10 000 новоржденных, “неклассической”—около 1% в популяции. В зависимости от характера нарушения функции гена и, соответственно клинических проявлений “классическая форма”подразделляется на два варианта: 1. летальная сольтеряющая форма; 2. нелетальная —вирилизирующая форма, связанная c избытком андрогенов (Morel, Miller, 1991).</w:t>
      </w:r>
    </w:p>
    <w:p w:rsidR="000A0434" w:rsidRDefault="004C3CF2">
      <w:pPr>
        <w:pStyle w:val="Mystyle"/>
        <w:rPr>
          <w:snapToGrid w:val="0"/>
          <w:lang w:val="en-US"/>
        </w:rPr>
      </w:pPr>
      <w:r>
        <w:rPr>
          <w:snapToGrid w:val="0"/>
          <w:lang w:val="en-US"/>
        </w:rPr>
        <w:t>В локусе 6р21.3, внутри сложного супергенетического комплекса HLA идентифицированы два тандемно расположенных 21</w:t>
      </w:r>
      <w:r>
        <w:rPr>
          <w:snapToGrid w:val="0"/>
          <w:lang w:val="en-US"/>
        </w:rPr>
        <w:noBreakHyphen/>
        <w:t>гидроксилазных гена —функционально активный CYP21B и псвдоген —CYP21А, неактивный вследствие делеции в 3</w:t>
      </w:r>
      <w:r>
        <w:rPr>
          <w:snapToGrid w:val="0"/>
          <w:lang w:val="en-US"/>
        </w:rPr>
        <w:noBreakHyphen/>
        <w:t>м экзоне, инсерции со сдвигом рамки считывания в 7</w:t>
      </w:r>
      <w:r>
        <w:rPr>
          <w:snapToGrid w:val="0"/>
          <w:lang w:val="en-US"/>
        </w:rPr>
        <w:noBreakHyphen/>
        <w:t>м экзоне и нонсенс мутаций —в 8</w:t>
      </w:r>
      <w:r>
        <w:rPr>
          <w:snapToGrid w:val="0"/>
          <w:lang w:val="en-US"/>
        </w:rPr>
        <w:noBreakHyphen/>
        <w:t>м экзоне. Ген и псевдоген разделены смысловой последовательностью гена С4В, кодирующей 4</w:t>
      </w:r>
      <w:r>
        <w:rPr>
          <w:snapToGrid w:val="0"/>
          <w:lang w:val="en-US"/>
        </w:rPr>
        <w:noBreakHyphen/>
        <w:t>й фактор комплемента. Оба гена состоят из 10 экзонов, имеют длину 3,4 кб и отличаются только по 87 нуклеотидам. Высокая степень гомологии и тандемное расположение указвают на общность эволюционного происхождения этих генов. Любопытно отметить, что такие же тандемно расположенные гены 21</w:t>
      </w:r>
      <w:r>
        <w:rPr>
          <w:snapToGrid w:val="0"/>
          <w:lang w:val="en-US"/>
        </w:rPr>
        <w:noBreakHyphen/>
        <w:t>гидроксилазы (называемые также Р450с21) обнаружены и у других млекопитающих, причем у мышей, в отличие от человека, активен только ген CYP21A, но не CYP21B, тогда как у крупного рогатого скота функционально активны оба гена.</w:t>
      </w:r>
    </w:p>
    <w:p w:rsidR="000A0434" w:rsidRDefault="004C3CF2">
      <w:pPr>
        <w:pStyle w:val="Mystyle"/>
        <w:rPr>
          <w:snapToGrid w:val="0"/>
          <w:lang w:val="en-US"/>
        </w:rPr>
      </w:pPr>
      <w:r>
        <w:rPr>
          <w:snapToGrid w:val="0"/>
          <w:lang w:val="en-US"/>
        </w:rPr>
        <w:t>Белок- 21</w:t>
      </w:r>
      <w:r>
        <w:rPr>
          <w:snapToGrid w:val="0"/>
          <w:lang w:val="en-US"/>
        </w:rPr>
        <w:noBreakHyphen/>
        <w:t>гидроксилаза ( Р450с21- микросомальный цитохром 450) обеспечивает превращение 17</w:t>
      </w:r>
      <w:r>
        <w:rPr>
          <w:snapToGrid w:val="0"/>
          <w:lang w:val="en-US"/>
        </w:rPr>
        <w:noBreakHyphen/>
        <w:t>гидроксипрогестерона в 11</w:t>
      </w:r>
      <w:r>
        <w:rPr>
          <w:snapToGrid w:val="0"/>
          <w:lang w:val="en-US"/>
        </w:rPr>
        <w:noBreakHyphen/>
        <w:t>дезоксикортизол и прогестерона —в дезоксикортикостерон. В первом случае возникает дефицит глюкокортикоидов и, прежде всего, кортизола, что в свою очередь стимулирует синтез АКТГ, и ведет к гиперплазии коры надпочечников (вирилирующая форма). Нарушение превращения прогестерона в дезоксипрогестерон ведет к дефициту альдостерона, что в свою очередь нарушает способность почек удерживать ионы натрия и приводит к быстрой потере соли плазмой крови (соль теряющая форма).</w:t>
      </w:r>
    </w:p>
    <w:p w:rsidR="000A0434" w:rsidRDefault="004C3CF2">
      <w:pPr>
        <w:pStyle w:val="Mystyle"/>
        <w:rPr>
          <w:snapToGrid w:val="0"/>
          <w:lang w:val="en-US"/>
        </w:rPr>
      </w:pPr>
      <w:r>
        <w:rPr>
          <w:snapToGrid w:val="0"/>
          <w:lang w:val="en-US"/>
        </w:rPr>
        <w:t>Как и в случае гемофилии А, наличие рядом с кодирующим геном гомологичной ДНК последовательности зачастую ведет к нарушениям спаривания в мейозе и, как следствие этого, к конверсии генов (перемещения фрагмента активного гена на псевдоген), либо к делеции части смыслового гена. В обоих случаях функция активного гена нарушается. На долю делеций приходится около 40% мутаций, на долю конверсий —20% и примерно 25% составляют точечные мутации. Согласно отечественным данным в случае наиболее тяжелой сольтеряющей формы АГС, на долю конверсий приходится более 20% мутантных хромосом, на долю делеций —около 10% (Evgrafov et al., 1995).</w:t>
      </w:r>
    </w:p>
    <w:p w:rsidR="000A0434" w:rsidRDefault="004C3CF2">
      <w:pPr>
        <w:pStyle w:val="Mystyle"/>
        <w:rPr>
          <w:snapToGrid w:val="0"/>
          <w:lang w:val="en-US"/>
        </w:rPr>
      </w:pPr>
      <w:r>
        <w:rPr>
          <w:snapToGrid w:val="0"/>
          <w:lang w:val="en-US"/>
        </w:rPr>
        <w:t>Непрямая диагностика АГС возможна с помощью типирования тесно сцепленных с геном CYP21B аллелей HLA A и HLA B генов, а также алелей гена HLA DQA1. Прямая ДНК диагностика АГС основана на амплификакции с помощью ПЦР отдельных фрагментов генов CYP21B и CYP21A, их рестрикции эндонуклеазами HaeIII или RsaI и анализе полученных фрагментов после электрофореза (Evgrafov et al., 1995).</w:t>
      </w:r>
    </w:p>
    <w:p w:rsidR="000A0434" w:rsidRDefault="004C3CF2">
      <w:pPr>
        <w:pStyle w:val="Mystyle"/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Спинальная мышечная атрофия.</w:t>
      </w:r>
    </w:p>
    <w:p w:rsidR="000A0434" w:rsidRDefault="004C3CF2">
      <w:pPr>
        <w:pStyle w:val="Mystyle"/>
        <w:rPr>
          <w:snapToGrid w:val="0"/>
          <w:lang w:val="en-US"/>
        </w:rPr>
      </w:pPr>
      <w:r>
        <w:rPr>
          <w:snapToGrid w:val="0"/>
          <w:lang w:val="en-US"/>
        </w:rPr>
        <w:t>Спинальная мышечная атрофия (СМА) — аутосомно-рецессивное заболевание, характеризуется поражением моторных нейронов передних рогов спинного мозга, в результате чего развиваются симметричные параличи конечностей и мышц туловища. Это —второе после муковисцидоза наиболее частое летальное моногенное заболевание (частота 1: 6 000 новорожденных).</w:t>
      </w:r>
    </w:p>
    <w:p w:rsidR="000A0434" w:rsidRDefault="004C3CF2">
      <w:pPr>
        <w:pStyle w:val="Mystyle"/>
        <w:rPr>
          <w:snapToGrid w:val="0"/>
          <w:lang w:val="en-US"/>
        </w:rPr>
      </w:pPr>
      <w:r>
        <w:rPr>
          <w:snapToGrid w:val="0"/>
          <w:lang w:val="en-US"/>
        </w:rPr>
        <w:t>СМА подразделяется на три клинические формы. Тип I. Острая форма (болезнь Верднига-Гоффмана), проявляется в первые 6 месяцев жизни и приводит к смерти уже в первые два года; Тип II. Средняя (промежуточная) форма, пациенты не могут стоять, но обычно живут более 4</w:t>
      </w:r>
      <w:r>
        <w:rPr>
          <w:snapToGrid w:val="0"/>
          <w:lang w:val="en-US"/>
        </w:rPr>
        <w:noBreakHyphen/>
        <w:t>х лет; Тип III. Ювенильная форма (болезнь Кугельберга-Веландера) —прогрессирующая мышечная слабость после 2</w:t>
      </w:r>
      <w:r>
        <w:rPr>
          <w:snapToGrid w:val="0"/>
          <w:lang w:val="en-US"/>
        </w:rPr>
        <w:noBreakHyphen/>
        <w:t>х лет. Все три формы представляют собой аллельные варианты мутаций одного гена SMN (survival motor neurons), картированного в локусе D5S125 (5q13) и идентифицированного методом позиционного клонирования (см.Главу III) в 1995г (Lefebvre et al. 1995). В этой пока единственой работе показано, что ген SMN размером всего 20 000 п.о.состоит из 8 экзонов. мРНК этого гена содержит 1 700 п.о. и кодирует ранее неизвестный белок из 294 аминокислотных остатков с молекулярным весом 32 КилоДальтона.</w:t>
      </w:r>
    </w:p>
    <w:p w:rsidR="000A0434" w:rsidRDefault="004C3CF2">
      <w:pPr>
        <w:pStyle w:val="Mystyle"/>
        <w:rPr>
          <w:snapToGrid w:val="0"/>
          <w:lang w:val="en-US"/>
        </w:rPr>
      </w:pPr>
      <w:r>
        <w:rPr>
          <w:snapToGrid w:val="0"/>
          <w:lang w:val="en-US"/>
        </w:rPr>
        <w:t>Ген дуплицирован. Его копия (возможно вариант псевдогена) располагается несколько ближе к центромере и отличается от гена SMN наличием 5</w:t>
      </w:r>
      <w:r>
        <w:rPr>
          <w:snapToGrid w:val="0"/>
          <w:lang w:val="en-US"/>
        </w:rPr>
        <w:noBreakHyphen/>
        <w:t>и точечных мутаций, позволяющих отличить оба гена путем амплификации экзонов 7 и 8 и их исследованием методом SSCP анализа (см.Главу IV). Ген назван сBCD541, по аналогии с первоначальным вариантом названия для теломерной копии, то</w:t>
      </w:r>
      <w:r>
        <w:rPr>
          <w:snapToGrid w:val="0"/>
          <w:vertAlign w:val="subscript"/>
          <w:lang w:val="en-US"/>
        </w:rPr>
        <w:t xml:space="preserve"> </w:t>
      </w:r>
      <w:r>
        <w:rPr>
          <w:snapToGrid w:val="0"/>
          <w:lang w:val="en-US"/>
        </w:rPr>
        <w:t>есть</w:t>
      </w:r>
      <w:r>
        <w:rPr>
          <w:snapToGrid w:val="0"/>
          <w:vertAlign w:val="subscript"/>
          <w:lang w:val="en-US"/>
        </w:rPr>
        <w:t xml:space="preserve"> </w:t>
      </w:r>
      <w:r>
        <w:rPr>
          <w:snapToGrid w:val="0"/>
          <w:lang w:val="en-US"/>
        </w:rPr>
        <w:t>гена SMN, tBCD541. Ген cBCD541 экспрессируется, но в отличие от гена SMN его сДНК подвергается альтернативному сплайсингу с утратой экзона 7. Отсутствие гена SMN (tBCD541) у 93% больных (213 из 229), его разорванная (interrupted) структура у 13 обследованных пациентов (5.6%) и наличие серьезных мутаций у оставшихся 3</w:t>
      </w:r>
      <w:r>
        <w:rPr>
          <w:snapToGrid w:val="0"/>
          <w:lang w:val="en-US"/>
        </w:rPr>
        <w:noBreakHyphen/>
        <w:t>х больных дали основание именно данную теломерную копию гена считать ответственной за заболевание. Существенно отметить, что центромерная копия гена обнаружена у 95</w:t>
      </w:r>
      <w:r>
        <w:rPr>
          <w:snapToGrid w:val="0"/>
          <w:vertAlign w:val="subscript"/>
          <w:lang w:val="en-US"/>
        </w:rPr>
        <w:t>.</w:t>
      </w:r>
      <w:r>
        <w:rPr>
          <w:snapToGrid w:val="0"/>
          <w:lang w:val="en-US"/>
        </w:rPr>
        <w:t>5% больных, тогда как</w:t>
      </w:r>
      <w:r>
        <w:rPr>
          <w:snapToGrid w:val="0"/>
          <w:vertAlign w:val="subscript"/>
          <w:lang w:val="en-US"/>
        </w:rPr>
        <w:t xml:space="preserve"> </w:t>
      </w:r>
      <w:r>
        <w:rPr>
          <w:snapToGrid w:val="0"/>
          <w:lang w:val="en-US"/>
        </w:rPr>
        <w:t>отсутствует она</w:t>
      </w:r>
      <w:r>
        <w:rPr>
          <w:snapToGrid w:val="0"/>
          <w:vertAlign w:val="subscript"/>
          <w:lang w:val="en-US"/>
        </w:rPr>
        <w:t xml:space="preserve"> </w:t>
      </w:r>
      <w:r>
        <w:rPr>
          <w:snapToGrid w:val="0"/>
          <w:lang w:val="en-US"/>
        </w:rPr>
        <w:t xml:space="preserve"> только у 4,4% пациентов.</w:t>
      </w:r>
    </w:p>
    <w:p w:rsidR="000A0434" w:rsidRDefault="004C3CF2">
      <w:pPr>
        <w:pStyle w:val="Mystyle"/>
        <w:rPr>
          <w:snapToGrid w:val="0"/>
          <w:lang w:val="en-US"/>
        </w:rPr>
      </w:pPr>
      <w:r>
        <w:rPr>
          <w:snapToGrid w:val="0"/>
          <w:lang w:val="en-US"/>
        </w:rPr>
        <w:t>В непосредственной близости от теломерного конца гена SMN идентифицирован еще один ген —ген белка-ингибитора запрогаммированной гибели нейронов (neuronal apoptosis inhibitory protein -NAIP). При тяжелых клинических формах СМА (Тип I), обусловленных делециями, по-видимому, нередко происходит утрата гена NAIP.</w:t>
      </w:r>
    </w:p>
    <w:p w:rsidR="000A0434" w:rsidRDefault="004C3CF2">
      <w:pPr>
        <w:pStyle w:val="Mystyle"/>
        <w:rPr>
          <w:snapToGrid w:val="0"/>
          <w:lang w:val="en-US"/>
        </w:rPr>
      </w:pPr>
      <w:r>
        <w:rPr>
          <w:snapToGrid w:val="0"/>
          <w:lang w:val="en-US"/>
        </w:rPr>
        <w:t>Согласно гипотезе авторов СМА возникает при гомозиготном состоянии мутаций (обычно-делеций) в гене SMN, при этом</w:t>
      </w:r>
      <w:r>
        <w:rPr>
          <w:snapToGrid w:val="0"/>
          <w:vertAlign w:val="subscript"/>
          <w:lang w:val="en-US"/>
        </w:rPr>
        <w:t xml:space="preserve"> </w:t>
      </w:r>
      <w:r>
        <w:rPr>
          <w:snapToGrid w:val="0"/>
          <w:lang w:val="en-US"/>
        </w:rPr>
        <w:t>различия между</w:t>
      </w:r>
      <w:r>
        <w:rPr>
          <w:snapToGrid w:val="0"/>
          <w:vertAlign w:val="subscript"/>
          <w:lang w:val="en-US"/>
        </w:rPr>
        <w:t xml:space="preserve"> </w:t>
      </w:r>
      <w:r>
        <w:rPr>
          <w:snapToGrid w:val="0"/>
          <w:lang w:val="en-US"/>
        </w:rPr>
        <w:t>формами</w:t>
      </w:r>
      <w:r>
        <w:rPr>
          <w:snapToGrid w:val="0"/>
          <w:vertAlign w:val="subscript"/>
          <w:lang w:val="en-US"/>
        </w:rPr>
        <w:t xml:space="preserve"> </w:t>
      </w:r>
      <w:r>
        <w:rPr>
          <w:snapToGrid w:val="0"/>
          <w:lang w:val="en-US"/>
        </w:rPr>
        <w:t>СМА определяются двумя основными факторами: 1. числом копий гена cBCD541 (две —в случае Типа I и четыре (возникающих вследствие конверсии между SMN и cBCD541) — в случае Типа III), 2. наличием или отсутствием гена</w:t>
      </w:r>
      <w:r>
        <w:rPr>
          <w:snapToGrid w:val="0"/>
          <w:vertAlign w:val="subscript"/>
          <w:lang w:val="en-US"/>
        </w:rPr>
        <w:t xml:space="preserve"> </w:t>
      </w:r>
      <w:r>
        <w:rPr>
          <w:snapToGrid w:val="0"/>
          <w:lang w:val="en-US"/>
        </w:rPr>
        <w:t>NAIP.Среди всех обследованных СМА-больных не обнаружены</w:t>
      </w:r>
      <w:r>
        <w:rPr>
          <w:snapToGrid w:val="0"/>
          <w:vertAlign w:val="subscript"/>
          <w:lang w:val="en-US"/>
        </w:rPr>
        <w:t xml:space="preserve"> </w:t>
      </w:r>
      <w:r>
        <w:rPr>
          <w:snapToGrid w:val="0"/>
          <w:lang w:val="en-US"/>
        </w:rPr>
        <w:t>случаи одновременной</w:t>
      </w:r>
      <w:r>
        <w:rPr>
          <w:snapToGrid w:val="0"/>
          <w:vertAlign w:val="subscript"/>
          <w:lang w:val="en-US"/>
        </w:rPr>
        <w:t xml:space="preserve">  </w:t>
      </w:r>
      <w:r>
        <w:rPr>
          <w:snapToGrid w:val="0"/>
          <w:lang w:val="en-US"/>
        </w:rPr>
        <w:t xml:space="preserve">делеции обоих гомологичных генов </w:t>
      </w:r>
      <w:r>
        <w:rPr>
          <w:snapToGrid w:val="0"/>
          <w:vertAlign w:val="subscript"/>
          <w:lang w:val="en-US"/>
        </w:rPr>
        <w:t xml:space="preserve">- </w:t>
      </w:r>
      <w:r>
        <w:rPr>
          <w:snapToGrid w:val="0"/>
          <w:lang w:val="en-US"/>
        </w:rPr>
        <w:t>SMN (tBCD541) и сBCD541,что</w:t>
      </w:r>
      <w:r>
        <w:rPr>
          <w:snapToGrid w:val="0"/>
          <w:vertAlign w:val="subscript"/>
          <w:lang w:val="en-US"/>
        </w:rPr>
        <w:t xml:space="preserve">  </w:t>
      </w:r>
      <w:r>
        <w:rPr>
          <w:snapToGrid w:val="0"/>
          <w:lang w:val="en-US"/>
        </w:rPr>
        <w:t>указывает, по мнению авторов,на то</w:t>
      </w:r>
      <w:r>
        <w:rPr>
          <w:snapToGrid w:val="0"/>
          <w:vertAlign w:val="subscript"/>
          <w:lang w:val="en-US"/>
        </w:rPr>
        <w:t xml:space="preserve">, </w:t>
      </w:r>
      <w:r>
        <w:rPr>
          <w:snapToGrid w:val="0"/>
          <w:lang w:val="en-US"/>
        </w:rPr>
        <w:t>что такая аберрация должна проявляться как доминантная леталь еще в эмбриогенезе.</w:t>
      </w:r>
    </w:p>
    <w:p w:rsidR="000A0434" w:rsidRDefault="004C3CF2">
      <w:pPr>
        <w:pStyle w:val="Mystyle"/>
      </w:pPr>
      <w:r>
        <w:t>Некоторые положения этой, безусловно, основополагающей работы французских авторов, по-видимому, еще требуют уточнения, однако, уже сейчас она сделала возможной прямую молекулярную диагностику СМА у 98,6% больных. С этой целью проводится амплификация экзона 7, который отсутствует у подавляющего большинства больных. Нормальный экзон 7 (ген SMN) дифференцируют от мутантного варианта (ген cBCD541) c помощью SSCP анализа. При необходимости возможна косвенная диагностика —ПЦР анализ динуклеотидных (CA) повторов ДНК локусов D5S125; D5S112; D5S127; ПДРФ-анализ с фланкирующими ДНК-зондами MU, 105—RA; 153— GT.</w:t>
      </w:r>
    </w:p>
    <w:p w:rsidR="000A0434" w:rsidRDefault="000A0434">
      <w:pPr>
        <w:pStyle w:val="Mystyle"/>
      </w:pPr>
    </w:p>
    <w:p w:rsidR="000A0434" w:rsidRDefault="004C3CF2">
      <w:pPr>
        <w:pStyle w:val="Mystyle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СПИСОК ЛИТЕРАТУРЫ</w:t>
      </w:r>
    </w:p>
    <w:p w:rsidR="000A0434" w:rsidRDefault="004C3CF2">
      <w:pPr>
        <w:pStyle w:val="Mystyle"/>
      </w:pPr>
      <w:r>
        <w:t>Н. Бочков “Гены и судьбы”.</w:t>
      </w:r>
    </w:p>
    <w:p w:rsidR="000A0434" w:rsidRDefault="004C3CF2">
      <w:pPr>
        <w:pStyle w:val="Mystyle"/>
      </w:pPr>
      <w:r>
        <w:t>Л. А. Лещинский "Берегите здоровье"</w:t>
      </w:r>
    </w:p>
    <w:p w:rsidR="000A0434" w:rsidRDefault="004C3CF2">
      <w:pPr>
        <w:pStyle w:val="Mystyle"/>
      </w:pPr>
      <w:r>
        <w:t xml:space="preserve">Г. И. Куценко, Ю.В. Новиков </w:t>
      </w:r>
      <w:r>
        <w:rPr>
          <w:lang w:val="en-US"/>
        </w:rPr>
        <w:t xml:space="preserve"> </w:t>
      </w:r>
      <w:r>
        <w:t>"Книга о здоровом образе жизни"</w:t>
      </w:r>
    </w:p>
    <w:p w:rsidR="000A0434" w:rsidRDefault="004C3CF2">
      <w:pPr>
        <w:pStyle w:val="Mystyle"/>
      </w:pPr>
      <w:r>
        <w:t>В. И. Воробьев "Слагаемые здоровья"</w:t>
      </w:r>
    </w:p>
    <w:p w:rsidR="000A0434" w:rsidRDefault="004C3CF2">
      <w:pPr>
        <w:pStyle w:val="Mystyle"/>
      </w:pPr>
      <w:r>
        <w:t>Н. Б. Коростелев "От А до Я"</w:t>
      </w:r>
    </w:p>
    <w:p w:rsidR="000A0434" w:rsidRDefault="004C3CF2">
      <w:pPr>
        <w:pStyle w:val="Mystyle"/>
      </w:pPr>
      <w:r>
        <w:t>И. П. Березин, Ю. В. Дергачев "Школа здоровья"</w:t>
      </w:r>
    </w:p>
    <w:p w:rsidR="000A0434" w:rsidRDefault="000A0434">
      <w:pPr>
        <w:pStyle w:val="Mystyle"/>
      </w:pPr>
    </w:p>
    <w:p w:rsidR="000A0434" w:rsidRDefault="000A0434">
      <w:pPr>
        <w:pStyle w:val="Mystyle"/>
      </w:pPr>
    </w:p>
    <w:p w:rsidR="000A0434" w:rsidRDefault="000A0434">
      <w:pPr>
        <w:pStyle w:val="Mystyle"/>
        <w:rPr>
          <w:lang w:val="en-US"/>
        </w:rPr>
      </w:pPr>
      <w:bookmarkStart w:id="0" w:name="_GoBack"/>
      <w:bookmarkEnd w:id="0"/>
    </w:p>
    <w:sectPr w:rsidR="000A0434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CF2"/>
    <w:rsid w:val="000A0434"/>
    <w:rsid w:val="004C3CF2"/>
    <w:rsid w:val="00F1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AF3C5C-F3F4-4FDD-890D-484D85F7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styleId="ac">
    <w:name w:val="Plain Text"/>
    <w:basedOn w:val="a"/>
    <w:link w:val="ad"/>
    <w:uiPriority w:val="99"/>
    <w:pPr>
      <w:widowControl/>
    </w:pPr>
    <w:rPr>
      <w:rFonts w:ascii="Courier New" w:hAnsi="Courier New" w:cs="Courier New"/>
      <w:sz w:val="20"/>
      <w:szCs w:val="20"/>
      <w:lang w:val="ru-RU"/>
    </w:rPr>
  </w:style>
  <w:style w:type="character" w:customStyle="1" w:styleId="ad">
    <w:name w:val="Текст Знак"/>
    <w:basedOn w:val="a0"/>
    <w:link w:val="ac"/>
    <w:uiPriority w:val="99"/>
    <w:semiHidden/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1840</Words>
  <Characters>10491</Characters>
  <Application>Microsoft Office Word</Application>
  <DocSecurity>0</DocSecurity>
  <Lines>87</Lines>
  <Paragraphs>24</Paragraphs>
  <ScaleCrop>false</ScaleCrop>
  <Company>ГУУ</Company>
  <LinksUpToDate>false</LinksUpToDate>
  <CharactersWithSpaces>12307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2014-01-30T17:07:00Z</dcterms:created>
  <dcterms:modified xsi:type="dcterms:W3CDTF">2014-01-30T17:07:00Z</dcterms:modified>
</cp:coreProperties>
</file>