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26" w:rsidRDefault="001C5291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Брак и дети</w:t>
      </w:r>
      <w:r>
        <w:br/>
      </w:r>
      <w:r>
        <w:rPr>
          <w:b/>
          <w:bCs/>
        </w:rPr>
        <w:t>Список литературы</w:t>
      </w:r>
    </w:p>
    <w:p w:rsidR="007C0526" w:rsidRDefault="001C529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7C0526" w:rsidRDefault="001C5291">
      <w:pPr>
        <w:pStyle w:val="a3"/>
      </w:pPr>
      <w:r>
        <w:t>Генрих (Энрике) II Наваррский или Генрих д'Альбре (фр. </w:t>
      </w:r>
      <w:r>
        <w:rPr>
          <w:i/>
          <w:iCs/>
        </w:rPr>
        <w:t>Henri II de Navarre</w:t>
      </w:r>
      <w:r>
        <w:t>, фр. </w:t>
      </w:r>
      <w:r>
        <w:rPr>
          <w:i/>
          <w:iCs/>
        </w:rPr>
        <w:t>Henri d'Albret</w:t>
      </w:r>
      <w:r>
        <w:t>, исп. </w:t>
      </w:r>
      <w:r>
        <w:rPr>
          <w:i/>
          <w:iCs/>
        </w:rPr>
        <w:t>Enrique II de Navarra</w:t>
      </w:r>
      <w:r>
        <w:t xml:space="preserve"> 18 апреля 1503(15030418), Сангуеза — 25 мая 1555, Ажетмо) — король Наварры с 1517 года из династии Альбре, сын короля Жана (Хуана) III д'Альбре и королевы Екатерины де Фуа.</w:t>
      </w:r>
    </w:p>
    <w:p w:rsidR="007C0526" w:rsidRDefault="001C5291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7C0526" w:rsidRDefault="001C5291">
      <w:pPr>
        <w:pStyle w:val="a3"/>
      </w:pPr>
      <w:r>
        <w:t>После смерти отца в 1516 году Генрих унаследовал его личные владения — графство Перигор и виконство Лимож. После смерти матери в 1517 году Генрих под именем Генрих II стал королём Наварры, а также унаследовал графства Фуа и Бигорр, а также виконтство Беарн. Однако король Арагона Фердинанд II ещё в 1512 году захватил большую часть Наварры и присоединил её к Арагону. Реально в управление Генрих получил только Нижнюю Наварру. Кроме того, после смерти деда, Алена Великого, Генрих унаследовал родовую сеньорию Альбре. В 1521 году Генрих попытался военным путём возвратить захваченную часть Наварры, но результата это не принесло.</w:t>
      </w:r>
    </w:p>
    <w:p w:rsidR="007C0526" w:rsidRDefault="001C5291">
      <w:pPr>
        <w:pStyle w:val="a3"/>
      </w:pPr>
      <w:r>
        <w:t>Генрих продолжил политику отца по сближению с Французским королевством. В 1523 году он сблизился с королём Франциском I. Он участвовал в армии Франциска битве при Павии в 1525 году против императора Карла V, в которой попал вместе с Франциском в плен. Однако том же году Генрих бежал из плена, что добавило ему престижа.</w:t>
      </w:r>
    </w:p>
    <w:p w:rsidR="007C0526" w:rsidRDefault="001C5291">
      <w:pPr>
        <w:pStyle w:val="a3"/>
      </w:pPr>
      <w:r>
        <w:t>В 1527 году Генрих женился на сестре Франциска I, Маргарите, принёсшая ему в качестве приданного графство Арманьяк. Двор его жены в городе Нерак стал одним из центров литературы, науки и искусства Западной Европы.</w:t>
      </w:r>
    </w:p>
    <w:p w:rsidR="007C0526" w:rsidRDefault="001C5291">
      <w:pPr>
        <w:pStyle w:val="a3"/>
        <w:rPr>
          <w:position w:val="10"/>
        </w:rPr>
      </w:pPr>
      <w:r>
        <w:t>В 1548 году Генрих выдал свою единственную дочь и наследницу, Жанну, замуж за герцога Антуана де Бурбона.</w:t>
      </w:r>
      <w:r>
        <w:rPr>
          <w:position w:val="10"/>
        </w:rPr>
        <w:t>[1]</w:t>
      </w:r>
    </w:p>
    <w:p w:rsidR="007C0526" w:rsidRDefault="001C5291">
      <w:pPr>
        <w:pStyle w:val="a3"/>
      </w:pPr>
      <w:r>
        <w:t>В 1550 году сеньория Альбре получила статус герцогства.</w:t>
      </w:r>
    </w:p>
    <w:p w:rsidR="007C0526" w:rsidRDefault="001C5291">
      <w:pPr>
        <w:pStyle w:val="a3"/>
      </w:pPr>
      <w:r>
        <w:t>Генрих умер 25 мая 1555 года и был похоронен в родовой усыпальнице королей Наварры в соборе Лескар. Все его владения унаследовала дочь Жанна.</w:t>
      </w:r>
    </w:p>
    <w:p w:rsidR="007C0526" w:rsidRDefault="001C5291">
      <w:pPr>
        <w:pStyle w:val="21"/>
        <w:pageBreakBefore/>
        <w:numPr>
          <w:ilvl w:val="0"/>
          <w:numId w:val="0"/>
        </w:numPr>
      </w:pPr>
      <w:r>
        <w:t>2. Брак и дети</w:t>
      </w:r>
    </w:p>
    <w:p w:rsidR="007C0526" w:rsidRDefault="001C5291">
      <w:pPr>
        <w:pStyle w:val="a3"/>
      </w:pPr>
      <w:r>
        <w:t xml:space="preserve">Жена: с 24 января 1527 года </w:t>
      </w:r>
      <w:r>
        <w:rPr>
          <w:b/>
          <w:bCs/>
        </w:rPr>
        <w:t>Маргарита Ангулемская</w:t>
      </w:r>
      <w:r>
        <w:t xml:space="preserve"> (11 апреля 1492 — 21 декабря 1549), дочь Карла Орлеанского, графа Ангулема и Перигора</w:t>
      </w:r>
    </w:p>
    <w:p w:rsidR="007C0526" w:rsidRDefault="001C529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Жанна (Хуана) III</w:t>
      </w:r>
      <w:r>
        <w:t xml:space="preserve"> (7 января 1528 — 9 июня 1572), королева Наварры с 1555; 1-й муж: с 13 июля 1541 года </w:t>
      </w:r>
      <w:r>
        <w:rPr>
          <w:b/>
          <w:bCs/>
        </w:rPr>
        <w:t>Вильгельм IV Клевский</w:t>
      </w:r>
      <w:r>
        <w:t xml:space="preserve"> (1516-1592), герцог Клеве, Юлиха, Берга и Гелдерна (аннулирован в 1546 году).; 2-й муж: с 20 октября 1548 </w:t>
      </w:r>
      <w:r>
        <w:rPr>
          <w:b/>
          <w:bCs/>
        </w:rPr>
        <w:t>Антуан де Бурбон</w:t>
      </w:r>
      <w:r>
        <w:t xml:space="preserve"> (1518-1562), герцог де Бурбон и Вандомский.</w:t>
      </w:r>
    </w:p>
    <w:p w:rsidR="007C0526" w:rsidRDefault="001C5291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b/>
          <w:bCs/>
        </w:rPr>
        <w:t>Жан (Хуан)</w:t>
      </w:r>
      <w:r>
        <w:t xml:space="preserve"> (после 1530 — в младенчестве)</w:t>
      </w:r>
    </w:p>
    <w:p w:rsidR="007C0526" w:rsidRDefault="001C5291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7C0526" w:rsidRDefault="001C5291">
      <w:pPr>
        <w:pStyle w:val="a3"/>
        <w:numPr>
          <w:ilvl w:val="0"/>
          <w:numId w:val="1"/>
        </w:numPr>
        <w:tabs>
          <w:tab w:val="left" w:pos="707"/>
        </w:tabs>
      </w:pPr>
      <w:r>
        <w:t>Их сын под именем Генрих IV объединил Францию и Наварру.</w:t>
      </w:r>
    </w:p>
    <w:p w:rsidR="007C0526" w:rsidRDefault="001C5291">
      <w:pPr>
        <w:pStyle w:val="a3"/>
        <w:spacing w:after="0"/>
      </w:pPr>
      <w:r>
        <w:t>Источник: http://ru.wikipedia.org/wiki/Генрих_II_Наваррский</w:t>
      </w:r>
      <w:bookmarkStart w:id="0" w:name="_GoBack"/>
      <w:bookmarkEnd w:id="0"/>
    </w:p>
    <w:sectPr w:rsidR="007C052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291"/>
    <w:rsid w:val="001C5291"/>
    <w:rsid w:val="00631ABB"/>
    <w:rsid w:val="007C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89F34-DF39-49D9-B179-AF2A594F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2014-04-12T01:53:00Z</dcterms:created>
  <dcterms:modified xsi:type="dcterms:W3CDTF">2014-04-12T01:53:00Z</dcterms:modified>
</cp:coreProperties>
</file>