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48C1" w:rsidRDefault="00FB48C1">
      <w:pPr>
        <w:pStyle w:val="Mystyle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Характеристика основных средств и методов психологического воздействия на людей</w:t>
      </w:r>
    </w:p>
    <w:p w:rsidR="00FB48C1" w:rsidRDefault="00FB48C1">
      <w:pPr>
        <w:pStyle w:val="Mystyle"/>
        <w:rPr>
          <w:snapToGrid w:val="0"/>
        </w:rPr>
      </w:pPr>
      <w:r>
        <w:rPr>
          <w:snapToGrid w:val="0"/>
        </w:rPr>
        <w:t>Прием воздействия — совокупность средств и алгоритм их использования. Методы воздействия — .совокупность приемов, реализующих воздействие на: 1) потребности, интересы, склонности, т. е. источники мотивации актив</w:t>
      </w:r>
      <w:r>
        <w:rPr>
          <w:snapToGrid w:val="0"/>
        </w:rPr>
        <w:softHyphen/>
        <w:t>ности, поведения человека; 2) на установки, групповые нормы, самооценки людей, т. е. на те факторы, которые регулируют активность; 3) на состояния, в которых чело</w:t>
      </w:r>
      <w:r>
        <w:rPr>
          <w:snapToGrid w:val="0"/>
        </w:rPr>
        <w:softHyphen/>
        <w:t>век находится (тревога, возбужденность или депрессивность и т.п.) и которые изменяют его поведение.</w:t>
      </w:r>
    </w:p>
    <w:p w:rsidR="00FB48C1" w:rsidRDefault="00FB48C1">
      <w:pPr>
        <w:pStyle w:val="Mystyle"/>
        <w:rPr>
          <w:snapToGrid w:val="0"/>
        </w:rPr>
      </w:pPr>
      <w:r>
        <w:rPr>
          <w:snapToGrid w:val="0"/>
        </w:rPr>
        <w:t>1) Методы воздействия на источники активности на</w:t>
      </w:r>
      <w:r>
        <w:rPr>
          <w:snapToGrid w:val="0"/>
        </w:rPr>
        <w:softHyphen/>
        <w:t>правлены на формирование новых потребностей или из</w:t>
      </w:r>
      <w:r>
        <w:rPr>
          <w:snapToGrid w:val="0"/>
        </w:rPr>
        <w:softHyphen/>
        <w:t>менение побудительной силы имеющихся мотивов по</w:t>
      </w:r>
      <w:r>
        <w:rPr>
          <w:snapToGrid w:val="0"/>
        </w:rPr>
        <w:softHyphen/>
        <w:t>ведения. Чтобы сформировать новые потребности у челове</w:t>
      </w:r>
      <w:r>
        <w:rPr>
          <w:snapToGrid w:val="0"/>
        </w:rPr>
        <w:softHyphen/>
        <w:t>ка, применяются следующие приемы и средства: вовлека</w:t>
      </w:r>
      <w:r>
        <w:rPr>
          <w:snapToGrid w:val="0"/>
        </w:rPr>
        <w:softHyphen/>
        <w:t>ют его в новую деятельность, используя желания челове</w:t>
      </w:r>
      <w:r>
        <w:rPr>
          <w:snapToGrid w:val="0"/>
        </w:rPr>
        <w:softHyphen/>
        <w:t>ка воздействовать с каким-то определенным лицом. При этом, вовлекая человека в новую для него, пока еще без</w:t>
      </w:r>
      <w:r>
        <w:rPr>
          <w:snapToGrid w:val="0"/>
        </w:rPr>
        <w:softHyphen/>
        <w:t>различную деятельность, полезно обеспечить минимиза</w:t>
      </w:r>
      <w:r>
        <w:rPr>
          <w:snapToGrid w:val="0"/>
        </w:rPr>
        <w:softHyphen/>
        <w:t>цию усилий человека по ее выполнению; если же новая деятельность для человека слишком обременительна, то человек теряет желание и интерес к этой деятельности.</w:t>
      </w:r>
    </w:p>
    <w:p w:rsidR="00FB48C1" w:rsidRDefault="00FB48C1">
      <w:pPr>
        <w:pStyle w:val="Mystyle"/>
        <w:rPr>
          <w:snapToGrid w:val="0"/>
        </w:rPr>
      </w:pPr>
      <w:r>
        <w:rPr>
          <w:snapToGrid w:val="0"/>
        </w:rPr>
        <w:t>Для того чтобы изменить поведение человека, нужно изменить его желания, мотивы (хочет уже того, чего рань</w:t>
      </w:r>
      <w:r>
        <w:rPr>
          <w:snapToGrid w:val="0"/>
        </w:rPr>
        <w:softHyphen/>
        <w:t>ше не хотел, либо перестал хотеть, стремиться к тому, что раньше привлекало), т. е. произвести изменения в системе иерархии мотивов. Один из приемов, который позволяет это сделать, — регрессия, т. е. объединение мотивацией -ной сферы, актуализация мотивов более низкой сферы (бе</w:t>
      </w:r>
      <w:r>
        <w:rPr>
          <w:snapToGrid w:val="0"/>
        </w:rPr>
        <w:softHyphen/>
        <w:t>зопасность, выживание, пищевой мотив и пр.) осуществ</w:t>
      </w:r>
      <w:r>
        <w:rPr>
          <w:snapToGrid w:val="0"/>
        </w:rPr>
        <w:softHyphen/>
        <w:t>ляется в случае неудовлетворения основных витальных по</w:t>
      </w:r>
      <w:r>
        <w:rPr>
          <w:snapToGrid w:val="0"/>
        </w:rPr>
        <w:softHyphen/>
        <w:t>требностей человека (этот прием осуществляется и в поли</w:t>
      </w:r>
      <w:r>
        <w:rPr>
          <w:snapToGrid w:val="0"/>
        </w:rPr>
        <w:softHyphen/>
        <w:t>тике, чтобы “сбить” активность многих- слоев общества, создав им достаточно трудные условия для пропитания и выживания).</w:t>
      </w:r>
    </w:p>
    <w:p w:rsidR="00FB48C1" w:rsidRDefault="00FB48C1">
      <w:pPr>
        <w:pStyle w:val="Mystyle"/>
        <w:rPr>
          <w:snapToGrid w:val="0"/>
        </w:rPr>
      </w:pPr>
      <w:r>
        <w:rPr>
          <w:snapToGrid w:val="0"/>
        </w:rPr>
        <w:t>2) Чтобы изменилось поведение человека, требуется изменить его взгляды, мнения, установки: создать новые установки или изменить актуальность существующих уста</w:t>
      </w:r>
      <w:r>
        <w:rPr>
          <w:snapToGrid w:val="0"/>
        </w:rPr>
        <w:softHyphen/>
        <w:t>новок, или их разрушить. Если установки разрушены, дея</w:t>
      </w:r>
      <w:r>
        <w:rPr>
          <w:snapToGrid w:val="0"/>
        </w:rPr>
        <w:softHyphen/>
        <w:t>тельность распадается. Условия, которые этому способству</w:t>
      </w:r>
      <w:r>
        <w:rPr>
          <w:snapToGrid w:val="0"/>
        </w:rPr>
        <w:softHyphen/>
        <w:t>ют: фактор неопределенности — чем выше уровень субъек</w:t>
      </w:r>
      <w:r>
        <w:rPr>
          <w:snapToGrid w:val="0"/>
        </w:rPr>
        <w:softHyphen/>
        <w:t>тивной неопределенности, тем выше тревожность, и тогда пропадает целенаправленность деятельности. Метод созда</w:t>
      </w:r>
      <w:r>
        <w:rPr>
          <w:snapToGrid w:val="0"/>
        </w:rPr>
        <w:softHyphen/>
        <w:t>ния неопределенных ситуаций позволяет ввести человека в состояние “разрушенных установок”, “потери себя”, и если потом показать человеку путь выхода из этой неопре</w:t>
      </w:r>
      <w:r>
        <w:rPr>
          <w:snapToGrid w:val="0"/>
        </w:rPr>
        <w:softHyphen/>
        <w:t>деленности, он будет готов воспринять эту установку и реагировать требуемым образом, особенно если будут про</w:t>
      </w:r>
      <w:r>
        <w:rPr>
          <w:snapToGrid w:val="0"/>
        </w:rPr>
        <w:softHyphen/>
        <w:t>изведены внушающие маневры: апелляция к мнению боль</w:t>
      </w:r>
      <w:r>
        <w:rPr>
          <w:snapToGrid w:val="0"/>
        </w:rPr>
        <w:softHyphen/>
        <w:t>шинства, обнародование результатов общественного мне</w:t>
      </w:r>
      <w:r>
        <w:rPr>
          <w:snapToGrid w:val="0"/>
        </w:rPr>
        <w:softHyphen/>
        <w:t>ния в сочетании с вовлечением в организуемую деятель</w:t>
      </w:r>
      <w:r>
        <w:rPr>
          <w:snapToGrid w:val="0"/>
        </w:rPr>
        <w:softHyphen/>
        <w:t>ность. Таким образом, метод создания неопределенности позволяет произвести изменение целевых, смысловых ус</w:t>
      </w:r>
      <w:r>
        <w:rPr>
          <w:snapToGrid w:val="0"/>
        </w:rPr>
        <w:softHyphen/>
        <w:t>тановок и последующее коренное изменение его поведе</w:t>
      </w:r>
      <w:r>
        <w:rPr>
          <w:snapToGrid w:val="0"/>
        </w:rPr>
        <w:softHyphen/>
        <w:t>ния и целей. Метод ориентирующих ситуаций, когда прак</w:t>
      </w:r>
      <w:r>
        <w:rPr>
          <w:snapToGrid w:val="0"/>
        </w:rPr>
        <w:softHyphen/>
        <w:t>тически каждый человек какое-то время побывал в одной и той же роли, в одной и той же ситуации, испытал оди</w:t>
      </w:r>
      <w:r>
        <w:rPr>
          <w:snapToGrid w:val="0"/>
        </w:rPr>
        <w:softHyphen/>
        <w:t>наковые требования к себе и к своей деятельности, как и все остальные люди из его Окружения или группы, — это позволяет всем выработать одинаковое требуемое отноше</w:t>
      </w:r>
      <w:r>
        <w:rPr>
          <w:snapToGrid w:val="0"/>
        </w:rPr>
        <w:softHyphen/>
        <w:t>ние к этой ситуации, изменить свое поведение в данной ситуации в требуемом направлении.</w:t>
      </w:r>
    </w:p>
    <w:p w:rsidR="00FB48C1" w:rsidRDefault="00FB48C1">
      <w:pPr>
        <w:pStyle w:val="Mystyle"/>
        <w:rPr>
          <w:snapToGrid w:val="0"/>
        </w:rPr>
      </w:pPr>
      <w:r>
        <w:rPr>
          <w:snapToGrid w:val="0"/>
        </w:rPr>
        <w:t>Требуемая социальная установка формируется у че</w:t>
      </w:r>
      <w:r>
        <w:rPr>
          <w:snapToGrid w:val="0"/>
        </w:rPr>
        <w:softHyphen/>
        <w:t>ловека: 1) если он периодически включается в соответ</w:t>
      </w:r>
      <w:r>
        <w:rPr>
          <w:snapToGrid w:val="0"/>
        </w:rPr>
        <w:softHyphen/>
        <w:t>ствующую деятельность; 2) 'многократно получает соответ</w:t>
      </w:r>
      <w:r>
        <w:rPr>
          <w:snapToGrid w:val="0"/>
        </w:rPr>
        <w:softHyphen/>
        <w:t>ствующую информацию; 3) если его включают в престиж</w:t>
      </w:r>
      <w:r>
        <w:rPr>
          <w:snapToGrid w:val="0"/>
        </w:rPr>
        <w:softHyphen/>
        <w:t>ную, ^значимую для него группу, в которой эта позиция, эта установка поддерживается (например, лидеров рабоче</w:t>
      </w:r>
      <w:r>
        <w:rPr>
          <w:snapToGrid w:val="0"/>
        </w:rPr>
        <w:softHyphen/>
        <w:t>го движения включают в актив фирмы, на престижный пост, после чего они довольно быстро усваивают требуе</w:t>
      </w:r>
      <w:r>
        <w:rPr>
          <w:snapToGrid w:val="0"/>
        </w:rPr>
        <w:softHyphen/>
        <w:t>мые администрацией установки и позиции — этот прием известен с древности и назывался “кооптация”).</w:t>
      </w:r>
    </w:p>
    <w:p w:rsidR="00FB48C1" w:rsidRDefault="00FB48C1">
      <w:pPr>
        <w:pStyle w:val="Mystyle"/>
        <w:rPr>
          <w:snapToGrid w:val="0"/>
        </w:rPr>
      </w:pPr>
      <w:r>
        <w:rPr>
          <w:snapToGrid w:val="0"/>
        </w:rPr>
        <w:t>Для того чтобы сформировать установку на требуемое отношение или оценку того или иного события, использу</w:t>
      </w:r>
      <w:r>
        <w:rPr>
          <w:snapToGrid w:val="0"/>
        </w:rPr>
        <w:softHyphen/>
        <w:t>ется метод ассоциативного, или эмоционального, пере</w:t>
      </w:r>
      <w:r>
        <w:rPr>
          <w:snapToGrid w:val="0"/>
        </w:rPr>
        <w:softHyphen/>
        <w:t>носа: включить этот объект в один контекст с тем, что уже имеет оценку, или вызвать моральную оценку, либо опре</w:t>
      </w:r>
      <w:r>
        <w:rPr>
          <w:snapToGrid w:val="0"/>
        </w:rPr>
        <w:softHyphen/>
        <w:t>деленную эмоцию по поводу этого контекста.</w:t>
      </w:r>
    </w:p>
    <w:p w:rsidR="00FB48C1" w:rsidRDefault="00FB48C1">
      <w:pPr>
        <w:pStyle w:val="Mystyle"/>
        <w:rPr>
          <w:snapToGrid w:val="0"/>
        </w:rPr>
      </w:pPr>
      <w:r>
        <w:rPr>
          <w:snapToGrid w:val="0"/>
        </w:rPr>
        <w:t>Для того, чтобы усилить, актуализировать требуемую установку, но способную вызвать эмоциональный или моральный протест человека, часто используется прием “совмещения стереотипных фраз с тем, что хотят вне</w:t>
      </w:r>
      <w:r>
        <w:rPr>
          <w:snapToGrid w:val="0"/>
        </w:rPr>
        <w:softHyphen/>
        <w:t>дрить”, поскольку стереотипные фразы снижают внима</w:t>
      </w:r>
      <w:r>
        <w:rPr>
          <w:snapToGrid w:val="0"/>
        </w:rPr>
        <w:softHyphen/>
        <w:t>ние, эмоциональное отношение человека на какой-то мо</w:t>
      </w:r>
      <w:r>
        <w:rPr>
          <w:snapToGrid w:val="0"/>
        </w:rPr>
        <w:softHyphen/>
        <w:t>мент, достаточный для срабатывания требуемой установки (этот прием используется в военных инструкциях, где пи</w:t>
      </w:r>
      <w:r>
        <w:rPr>
          <w:snapToGrid w:val="0"/>
        </w:rPr>
        <w:softHyphen/>
        <w:t>шут: “Запустить ракету в объект Б” (а не в город Б), по</w:t>
      </w:r>
      <w:r>
        <w:rPr>
          <w:snapToGrid w:val="0"/>
        </w:rPr>
        <w:softHyphen/>
        <w:t>скольку стереотипное слово “объект” снижает эмоциональ</w:t>
      </w:r>
      <w:r>
        <w:rPr>
          <w:snapToGrid w:val="0"/>
        </w:rPr>
        <w:softHyphen/>
        <w:t>ное отношение человека и усиливает его готовность вы</w:t>
      </w:r>
      <w:r>
        <w:rPr>
          <w:snapToGrid w:val="0"/>
        </w:rPr>
        <w:softHyphen/>
        <w:t>полнять требуемый приказ, требуемую установку). Для из</w:t>
      </w:r>
      <w:r>
        <w:rPr>
          <w:snapToGrid w:val="0"/>
        </w:rPr>
        <w:softHyphen/>
        <w:t>менения эмоционального отношения и состояния челове</w:t>
      </w:r>
      <w:r>
        <w:rPr>
          <w:snapToGrid w:val="0"/>
        </w:rPr>
        <w:softHyphen/>
        <w:t>ка к текущим событиям эффективен прием “воспомина</w:t>
      </w:r>
      <w:r>
        <w:rPr>
          <w:snapToGrid w:val="0"/>
        </w:rPr>
        <w:softHyphen/>
        <w:t>ния горького прошлого”.</w:t>
      </w:r>
    </w:p>
    <w:p w:rsidR="00FB48C1" w:rsidRDefault="00FB48C1">
      <w:pPr>
        <w:pStyle w:val="Mystyle"/>
        <w:rPr>
          <w:lang w:val="en-US"/>
        </w:rPr>
      </w:pPr>
      <w:bookmarkStart w:id="0" w:name="_GoBack"/>
      <w:bookmarkEnd w:id="0"/>
    </w:p>
    <w:sectPr w:rsidR="00FB48C1">
      <w:pgSz w:w="11906" w:h="16838" w:code="9"/>
      <w:pgMar w:top="1134" w:right="1134" w:bottom="1134" w:left="1134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5B9617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2E0A62A9"/>
    <w:multiLevelType w:val="singleLevel"/>
    <w:tmpl w:val="7D1ABFDA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2">
    <w:nsid w:val="3DFB7B17"/>
    <w:multiLevelType w:val="singleLevel"/>
    <w:tmpl w:val="E4E273B8"/>
    <w:lvl w:ilvl="0">
      <w:start w:val="1"/>
      <w:numFmt w:val="decimal"/>
      <w:lvlText w:val="%1)"/>
      <w:lvlJc w:val="left"/>
      <w:pPr>
        <w:tabs>
          <w:tab w:val="num" w:pos="585"/>
        </w:tabs>
        <w:ind w:left="585" w:hanging="435"/>
      </w:pPr>
      <w:rPr>
        <w:rFonts w:hint="default"/>
      </w:rPr>
    </w:lvl>
  </w:abstractNum>
  <w:abstractNum w:abstractNumId="3">
    <w:nsid w:val="52C50826"/>
    <w:multiLevelType w:val="singleLevel"/>
    <w:tmpl w:val="7D1ABFDA"/>
    <w:lvl w:ilvl="0">
      <w:start w:val="2"/>
      <w:numFmt w:val="decimal"/>
      <w:lvlText w:val="%1. "/>
      <w:legacy w:legacy="1" w:legacySpace="0" w:legacyIndent="283"/>
      <w:lvlJc w:val="left"/>
      <w:pPr>
        <w:ind w:left="358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4">
    <w:nsid w:val="5DF72958"/>
    <w:multiLevelType w:val="singleLevel"/>
    <w:tmpl w:val="8C88A3F4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93EB7"/>
    <w:rsid w:val="001B7A0B"/>
    <w:rsid w:val="00561FF2"/>
    <w:rsid w:val="00B93EB7"/>
    <w:rsid w:val="00FB48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B6A243C2-24D4-452A-AEF7-838E07DA3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 1"/>
    <w:basedOn w:val="a"/>
    <w:next w:val="a"/>
    <w:uiPriority w:val="99"/>
    <w:pPr>
      <w:keepNext/>
      <w:spacing w:before="240" w:after="60"/>
    </w:pPr>
    <w:rPr>
      <w:rFonts w:ascii="Arial" w:hAnsi="Arial" w:cs="Arial"/>
      <w:b/>
      <w:bCs/>
      <w:kern w:val="28"/>
      <w:sz w:val="28"/>
      <w:szCs w:val="28"/>
    </w:rPr>
  </w:style>
  <w:style w:type="paragraph" w:customStyle="1" w:styleId="2">
    <w:name w:val="заголовок 2"/>
    <w:basedOn w:val="a"/>
    <w:next w:val="a"/>
    <w:uiPriority w:val="9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4"/>
      <w:szCs w:val="24"/>
    </w:rPr>
  </w:style>
  <w:style w:type="paragraph" w:customStyle="1" w:styleId="3">
    <w:name w:val="заголовок 3"/>
    <w:basedOn w:val="a"/>
    <w:next w:val="a"/>
    <w:uiPriority w:val="99"/>
    <w:pPr>
      <w:keepNext/>
      <w:jc w:val="both"/>
      <w:outlineLvl w:val="2"/>
    </w:pPr>
    <w:rPr>
      <w:sz w:val="28"/>
      <w:szCs w:val="28"/>
    </w:rPr>
  </w:style>
  <w:style w:type="paragraph" w:customStyle="1" w:styleId="4">
    <w:name w:val="заголовок 4"/>
    <w:basedOn w:val="a"/>
    <w:next w:val="a"/>
    <w:uiPriority w:val="99"/>
    <w:pPr>
      <w:keepNext/>
      <w:jc w:val="center"/>
      <w:outlineLvl w:val="3"/>
    </w:pPr>
    <w:rPr>
      <w:b/>
      <w:bCs/>
      <w:sz w:val="28"/>
      <w:szCs w:val="28"/>
    </w:rPr>
  </w:style>
  <w:style w:type="paragraph" w:customStyle="1" w:styleId="8">
    <w:name w:val="заголовок 8"/>
    <w:basedOn w:val="a"/>
    <w:next w:val="a"/>
    <w:uiPriority w:val="99"/>
    <w:pPr>
      <w:spacing w:before="240" w:after="60"/>
    </w:pPr>
    <w:rPr>
      <w:rFonts w:ascii="Arial" w:hAnsi="Arial" w:cs="Arial"/>
      <w:i/>
      <w:iCs/>
    </w:rPr>
  </w:style>
  <w:style w:type="character" w:customStyle="1" w:styleId="a3">
    <w:name w:val="Основной шрифт"/>
    <w:uiPriority w:val="99"/>
  </w:style>
  <w:style w:type="paragraph" w:styleId="a4">
    <w:name w:val="Body Text"/>
    <w:basedOn w:val="a"/>
    <w:link w:val="a5"/>
    <w:uiPriority w:val="99"/>
    <w:pPr>
      <w:jc w:val="both"/>
    </w:pPr>
    <w:rPr>
      <w:rFonts w:ascii="Courier New" w:hAnsi="Courier New" w:cs="Courier New"/>
      <w:b/>
      <w:bCs/>
      <w:sz w:val="24"/>
      <w:szCs w:val="24"/>
    </w:rPr>
  </w:style>
  <w:style w:type="character" w:customStyle="1" w:styleId="a5">
    <w:name w:val="Основной текст Знак"/>
    <w:link w:val="a4"/>
    <w:uiPriority w:val="99"/>
    <w:semiHidden/>
    <w:rPr>
      <w:rFonts w:ascii="Times New Roman" w:hAnsi="Times New Roman" w:cs="Times New Roman"/>
      <w:sz w:val="20"/>
      <w:szCs w:val="20"/>
    </w:rPr>
  </w:style>
  <w:style w:type="paragraph" w:styleId="20">
    <w:name w:val="Body Text 2"/>
    <w:basedOn w:val="a"/>
    <w:link w:val="21"/>
    <w:uiPriority w:val="99"/>
    <w:pPr>
      <w:jc w:val="both"/>
    </w:pPr>
    <w:rPr>
      <w:sz w:val="24"/>
      <w:szCs w:val="24"/>
    </w:rPr>
  </w:style>
  <w:style w:type="character" w:customStyle="1" w:styleId="21">
    <w:name w:val="Основной текст 2 Знак"/>
    <w:link w:val="20"/>
    <w:uiPriority w:val="99"/>
    <w:semiHidden/>
    <w:rPr>
      <w:rFonts w:ascii="Times New Roman" w:hAnsi="Times New Roman" w:cs="Times New Roman"/>
      <w:sz w:val="20"/>
      <w:szCs w:val="20"/>
    </w:rPr>
  </w:style>
  <w:style w:type="paragraph" w:customStyle="1" w:styleId="Mystyle">
    <w:name w:val="Mystyle"/>
    <w:basedOn w:val="a4"/>
    <w:uiPriority w:val="99"/>
    <w:pPr>
      <w:spacing w:before="120"/>
      <w:ind w:firstLine="567"/>
    </w:pPr>
    <w:rPr>
      <w:rFonts w:ascii="Times New Roman" w:hAnsi="Times New Roman" w:cs="Times New Roman"/>
      <w:b w:val="0"/>
      <w:bCs w:val="0"/>
    </w:rPr>
  </w:style>
  <w:style w:type="paragraph" w:styleId="22">
    <w:name w:val="Body Text Indent 2"/>
    <w:basedOn w:val="a"/>
    <w:link w:val="23"/>
    <w:uiPriority w:val="99"/>
    <w:pPr>
      <w:spacing w:line="240" w:lineRule="atLeast"/>
      <w:ind w:right="-2812" w:firstLine="320"/>
    </w:pPr>
    <w:rPr>
      <w:sz w:val="24"/>
      <w:szCs w:val="24"/>
    </w:rPr>
  </w:style>
  <w:style w:type="character" w:customStyle="1" w:styleId="23">
    <w:name w:val="Основной текст с отступом 2 Знак"/>
    <w:link w:val="22"/>
    <w:uiPriority w:val="99"/>
    <w:semiHidden/>
    <w:rPr>
      <w:rFonts w:ascii="Times New Roman" w:hAnsi="Times New Roman" w:cs="Times New Roman"/>
      <w:sz w:val="20"/>
      <w:szCs w:val="20"/>
    </w:rPr>
  </w:style>
  <w:style w:type="paragraph" w:styleId="30">
    <w:name w:val="Body Text Indent 3"/>
    <w:basedOn w:val="a"/>
    <w:link w:val="31"/>
    <w:uiPriority w:val="99"/>
    <w:pPr>
      <w:spacing w:before="40" w:line="240" w:lineRule="atLeast"/>
      <w:ind w:right="-2812" w:firstLine="360"/>
    </w:pPr>
    <w:rPr>
      <w:sz w:val="24"/>
      <w:szCs w:val="24"/>
    </w:rPr>
  </w:style>
  <w:style w:type="character" w:customStyle="1" w:styleId="31">
    <w:name w:val="Основной текст с отступом 3 Знак"/>
    <w:link w:val="30"/>
    <w:uiPriority w:val="99"/>
    <w:semiHidden/>
    <w:rPr>
      <w:rFonts w:ascii="Times New Roman" w:hAnsi="Times New Roman" w:cs="Times New Roman"/>
      <w:sz w:val="16"/>
      <w:szCs w:val="16"/>
    </w:rPr>
  </w:style>
  <w:style w:type="paragraph" w:styleId="a6">
    <w:name w:val="footer"/>
    <w:basedOn w:val="a"/>
    <w:link w:val="a7"/>
    <w:uiPriority w:val="99"/>
    <w:pPr>
      <w:tabs>
        <w:tab w:val="center" w:pos="4153"/>
        <w:tab w:val="right" w:pos="8306"/>
      </w:tabs>
    </w:pPr>
  </w:style>
  <w:style w:type="character" w:customStyle="1" w:styleId="a7">
    <w:name w:val="Нижний колонтитул Знак"/>
    <w:link w:val="a6"/>
    <w:uiPriority w:val="99"/>
    <w:semiHidden/>
    <w:rPr>
      <w:rFonts w:ascii="Times New Roman" w:hAnsi="Times New Roman" w:cs="Times New Roman"/>
      <w:sz w:val="20"/>
      <w:szCs w:val="20"/>
    </w:rPr>
  </w:style>
  <w:style w:type="character" w:customStyle="1" w:styleId="a8">
    <w:name w:val="номер страницы"/>
    <w:uiPriority w:val="99"/>
  </w:style>
  <w:style w:type="paragraph" w:customStyle="1" w:styleId="10">
    <w:name w:val="оглавление 1"/>
    <w:basedOn w:val="a"/>
    <w:next w:val="a"/>
    <w:autoRedefine/>
    <w:uiPriority w:val="99"/>
  </w:style>
  <w:style w:type="paragraph" w:customStyle="1" w:styleId="24">
    <w:name w:val="оглавление 2"/>
    <w:basedOn w:val="a"/>
    <w:next w:val="a"/>
    <w:autoRedefine/>
    <w:uiPriority w:val="99"/>
    <w:pPr>
      <w:tabs>
        <w:tab w:val="right" w:leader="dot" w:pos="4536"/>
      </w:tabs>
      <w:ind w:left="142"/>
    </w:pPr>
    <w:rPr>
      <w:noProof/>
      <w:sz w:val="10"/>
      <w:szCs w:val="10"/>
      <w:lang w:val="en-US"/>
    </w:rPr>
  </w:style>
  <w:style w:type="paragraph" w:customStyle="1" w:styleId="32">
    <w:name w:val="оглавление 3"/>
    <w:basedOn w:val="a"/>
    <w:next w:val="a"/>
    <w:autoRedefine/>
    <w:uiPriority w:val="99"/>
    <w:pPr>
      <w:ind w:left="400"/>
    </w:pPr>
  </w:style>
  <w:style w:type="paragraph" w:customStyle="1" w:styleId="40">
    <w:name w:val="оглавление 4"/>
    <w:basedOn w:val="a"/>
    <w:next w:val="a"/>
    <w:autoRedefine/>
    <w:uiPriority w:val="99"/>
    <w:pPr>
      <w:ind w:left="600"/>
    </w:pPr>
  </w:style>
  <w:style w:type="paragraph" w:customStyle="1" w:styleId="5">
    <w:name w:val="оглавление 5"/>
    <w:basedOn w:val="a"/>
    <w:next w:val="a"/>
    <w:autoRedefine/>
    <w:uiPriority w:val="99"/>
    <w:pPr>
      <w:ind w:left="800"/>
    </w:pPr>
  </w:style>
  <w:style w:type="paragraph" w:customStyle="1" w:styleId="6">
    <w:name w:val="оглавление 6"/>
    <w:basedOn w:val="a"/>
    <w:next w:val="a"/>
    <w:autoRedefine/>
    <w:uiPriority w:val="99"/>
    <w:pPr>
      <w:ind w:left="1000"/>
    </w:pPr>
  </w:style>
  <w:style w:type="paragraph" w:customStyle="1" w:styleId="7">
    <w:name w:val="оглавление 7"/>
    <w:basedOn w:val="a"/>
    <w:next w:val="a"/>
    <w:autoRedefine/>
    <w:uiPriority w:val="99"/>
    <w:pPr>
      <w:ind w:left="1200"/>
    </w:pPr>
  </w:style>
  <w:style w:type="paragraph" w:customStyle="1" w:styleId="80">
    <w:name w:val="оглавление 8"/>
    <w:basedOn w:val="a"/>
    <w:next w:val="a"/>
    <w:autoRedefine/>
    <w:uiPriority w:val="99"/>
    <w:pPr>
      <w:ind w:left="1400"/>
    </w:pPr>
  </w:style>
  <w:style w:type="paragraph" w:customStyle="1" w:styleId="9">
    <w:name w:val="оглавление 9"/>
    <w:basedOn w:val="a"/>
    <w:next w:val="a"/>
    <w:autoRedefine/>
    <w:uiPriority w:val="99"/>
    <w:pPr>
      <w:ind w:left="1600"/>
    </w:pPr>
  </w:style>
  <w:style w:type="paragraph" w:styleId="a9">
    <w:name w:val="head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link w:val="a9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b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3115</Words>
  <Characters>1777</Characters>
  <Application>Microsoft Office Word</Application>
  <DocSecurity>0</DocSecurity>
  <Lines>14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Государство и право Англии в период сословно-представительной монархии</vt:lpstr>
    </vt:vector>
  </TitlesOfParts>
  <Company>ГУУ</Company>
  <LinksUpToDate>false</LinksUpToDate>
  <CharactersWithSpaces>4883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Государство и право Англии в период сословно-представительной монархии</dc:title>
  <dc:subject/>
  <dc:creator>Севостьянов Иван Олегович</dc:creator>
  <cp:keywords/>
  <dc:description/>
  <cp:lastModifiedBy>admin</cp:lastModifiedBy>
  <cp:revision>2</cp:revision>
  <dcterms:created xsi:type="dcterms:W3CDTF">2014-01-27T09:22:00Z</dcterms:created>
  <dcterms:modified xsi:type="dcterms:W3CDTF">2014-01-27T09:22:00Z</dcterms:modified>
</cp:coreProperties>
</file>