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0DAE" w:rsidRDefault="00E00DAE">
      <w:pPr>
        <w:pStyle w:val="Mystyle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Характеристика перцептивной стороны общения</w:t>
      </w:r>
    </w:p>
    <w:p w:rsidR="00E00DAE" w:rsidRDefault="00E00DAE">
      <w:pPr>
        <w:pStyle w:val="Mystyle"/>
        <w:rPr>
          <w:snapToGrid w:val="0"/>
        </w:rPr>
      </w:pPr>
    </w:p>
    <w:p w:rsidR="00E00DAE" w:rsidRDefault="00E00DAE">
      <w:pPr>
        <w:pStyle w:val="Mystyle"/>
        <w:rPr>
          <w:i/>
          <w:iCs/>
          <w:snapToGrid w:val="0"/>
          <w:u w:val="single"/>
        </w:rPr>
      </w:pPr>
      <w:r>
        <w:rPr>
          <w:snapToGrid w:val="0"/>
        </w:rPr>
        <w:t xml:space="preserve">          Как уже было установлено, в процессе  общения должно присутствовать взаи</w:t>
      </w:r>
      <w:r>
        <w:rPr>
          <w:snapToGrid w:val="0"/>
        </w:rPr>
        <w:softHyphen/>
        <w:t>мопонимание между участниками этого процесса. Само взаимопонимание может быть здесь истолковано по-разному: или как понимание целей, мотивов, установок парт</w:t>
      </w:r>
      <w:r>
        <w:rPr>
          <w:snapToGrid w:val="0"/>
        </w:rPr>
        <w:softHyphen/>
        <w:t>нера по взаимодействию, или как не только понимание, но и при</w:t>
      </w:r>
      <w:r>
        <w:rPr>
          <w:snapToGrid w:val="0"/>
        </w:rPr>
        <w:softHyphen/>
        <w:t xml:space="preserve">нятие, разделение этих целей, мотивов, установок. Однако и в том, и в другом случаях большое значение имеет тот факт, </w:t>
      </w:r>
      <w:r>
        <w:rPr>
          <w:i/>
          <w:iCs/>
          <w:snapToGrid w:val="0"/>
        </w:rPr>
        <w:t>как воспри</w:t>
      </w:r>
      <w:r>
        <w:rPr>
          <w:i/>
          <w:iCs/>
          <w:snapToGrid w:val="0"/>
        </w:rPr>
        <w:softHyphen/>
        <w:t>нимается партнер по общению</w:t>
      </w:r>
      <w:r>
        <w:rPr>
          <w:snapToGrid w:val="0"/>
        </w:rPr>
        <w:t xml:space="preserve">, иными словами, </w:t>
      </w:r>
      <w:r>
        <w:rPr>
          <w:i/>
          <w:iCs/>
          <w:snapToGrid w:val="0"/>
        </w:rPr>
        <w:t>процесс воспри</w:t>
      </w:r>
      <w:r>
        <w:rPr>
          <w:i/>
          <w:iCs/>
          <w:snapToGrid w:val="0"/>
        </w:rPr>
        <w:softHyphen/>
        <w:t>ятия одним человеком другого выступает как обязательная состав</w:t>
      </w:r>
      <w:r>
        <w:rPr>
          <w:i/>
          <w:iCs/>
          <w:snapToGrid w:val="0"/>
        </w:rPr>
        <w:softHyphen/>
        <w:t xml:space="preserve">ная часть общения и условно может быть назван </w:t>
      </w:r>
      <w:r>
        <w:rPr>
          <w:i/>
          <w:iCs/>
          <w:snapToGrid w:val="0"/>
          <w:u w:val="single"/>
        </w:rPr>
        <w:t>перцептивной стороной общения.</w:t>
      </w:r>
    </w:p>
    <w:p w:rsidR="00E00DAE" w:rsidRDefault="00E00DAE">
      <w:pPr>
        <w:pStyle w:val="Mystyle"/>
        <w:rPr>
          <w:i/>
          <w:iCs/>
          <w:snapToGrid w:val="0"/>
        </w:rPr>
      </w:pPr>
      <w:r>
        <w:rPr>
          <w:snapToGrid w:val="0"/>
        </w:rPr>
        <w:t>Весьма часто восприятие человека человеком обозначают как “социальная перцепция”. Это понятие в данном случае употреблено не слишком точно. Термин “социальная пер</w:t>
      </w:r>
      <w:r>
        <w:rPr>
          <w:snapToGrid w:val="0"/>
        </w:rPr>
        <w:softHyphen/>
        <w:t>цепция” впервые был введен Дж. Брунером в 1947 г. в ходе разра</w:t>
      </w:r>
      <w:r>
        <w:rPr>
          <w:snapToGrid w:val="0"/>
        </w:rPr>
        <w:softHyphen/>
        <w:t>ботки так называемого нового взгляда</w:t>
      </w:r>
      <w:r>
        <w:rPr>
          <w:snapToGrid w:val="0"/>
          <w:lang w:val="en-US"/>
        </w:rPr>
        <w:t xml:space="preserve"> (New Look)</w:t>
      </w:r>
      <w:r>
        <w:rPr>
          <w:snapToGrid w:val="0"/>
        </w:rPr>
        <w:t xml:space="preserve"> на восприятие. Вначале под социальной перцепцией понималась социальная де</w:t>
      </w:r>
      <w:r>
        <w:rPr>
          <w:snapToGrid w:val="0"/>
        </w:rPr>
        <w:softHyphen/>
        <w:t>терминация перцептивных процессов. Позже исследователи, в част</w:t>
      </w:r>
      <w:r>
        <w:rPr>
          <w:snapToGrid w:val="0"/>
        </w:rPr>
        <w:softHyphen/>
        <w:t>ности в социальной психологии, придали понятию несколько иной смысл: социальной перцепцией стали называть процесс воспри</w:t>
      </w:r>
      <w:r>
        <w:rPr>
          <w:snapToGrid w:val="0"/>
        </w:rPr>
        <w:softHyphen/>
        <w:t>ятия так называемых социальных объектов, под которыми подра</w:t>
      </w:r>
      <w:r>
        <w:rPr>
          <w:snapToGrid w:val="0"/>
        </w:rPr>
        <w:softHyphen/>
        <w:t>зумевались другие люди, социальные группы, большие социаль</w:t>
      </w:r>
      <w:r>
        <w:rPr>
          <w:snapToGrid w:val="0"/>
        </w:rPr>
        <w:softHyphen/>
        <w:t xml:space="preserve">ные общности. Именно в этом употреблении термин закрепился в социально-психологической литературе. </w:t>
      </w:r>
      <w:r>
        <w:rPr>
          <w:i/>
          <w:iCs/>
          <w:snapToGrid w:val="0"/>
        </w:rPr>
        <w:t>Поэтому восприятие че</w:t>
      </w:r>
      <w:r>
        <w:rPr>
          <w:i/>
          <w:iCs/>
          <w:snapToGrid w:val="0"/>
        </w:rPr>
        <w:softHyphen/>
        <w:t>ловека человеком относится, конечно, к области социальной пер</w:t>
      </w:r>
      <w:r>
        <w:rPr>
          <w:i/>
          <w:iCs/>
          <w:snapToGrid w:val="0"/>
        </w:rPr>
        <w:softHyphen/>
        <w:t>цепции, но не исчерпывает ее.</w:t>
      </w:r>
    </w:p>
    <w:p w:rsidR="00E00DAE" w:rsidRDefault="00E00DAE">
      <w:pPr>
        <w:pStyle w:val="Mystyle"/>
        <w:rPr>
          <w:snapToGrid w:val="0"/>
        </w:rPr>
      </w:pPr>
      <w:r>
        <w:rPr>
          <w:snapToGrid w:val="0"/>
        </w:rPr>
        <w:t>Если представить себе процессы социальной перцепции в пол</w:t>
      </w:r>
      <w:r>
        <w:rPr>
          <w:snapToGrid w:val="0"/>
        </w:rPr>
        <w:softHyphen/>
        <w:t>ном объеме, то получается весьма сложная и разветвленная схема, которая включает в себя различные варианты не только объ</w:t>
      </w:r>
      <w:r>
        <w:rPr>
          <w:snapToGrid w:val="0"/>
        </w:rPr>
        <w:softHyphen/>
        <w:t>екта, но и субъекта восприятия. Когда субъектом восприятия вы</w:t>
      </w:r>
      <w:r>
        <w:rPr>
          <w:snapToGrid w:val="0"/>
        </w:rPr>
        <w:softHyphen/>
        <w:t>ступает индивид , то он может воспринимать другого индиви</w:t>
      </w:r>
      <w:r>
        <w:rPr>
          <w:snapToGrid w:val="0"/>
        </w:rPr>
        <w:softHyphen/>
        <w:t>да, принадлежащего к “своей” группе; другого индивида, при</w:t>
      </w:r>
      <w:r>
        <w:rPr>
          <w:snapToGrid w:val="0"/>
        </w:rPr>
        <w:softHyphen/>
        <w:t>надлежащего к “чужой” группе ; свою собственную группу ;“чужую” группу . Получаются четыре различных про</w:t>
      </w:r>
      <w:r>
        <w:rPr>
          <w:snapToGrid w:val="0"/>
        </w:rPr>
        <w:softHyphen/>
        <w:t>цесса, каждый из которых обладает своими специфическими осо</w:t>
      </w:r>
      <w:r>
        <w:rPr>
          <w:snapToGrid w:val="0"/>
        </w:rPr>
        <w:softHyphen/>
        <w:t>бенностями.</w:t>
      </w:r>
    </w:p>
    <w:p w:rsidR="00E00DAE" w:rsidRDefault="00E00DAE">
      <w:pPr>
        <w:pStyle w:val="Mystyle"/>
        <w:rPr>
          <w:snapToGrid w:val="0"/>
        </w:rPr>
      </w:pPr>
      <w:r>
        <w:rPr>
          <w:snapToGrid w:val="0"/>
        </w:rPr>
        <w:t>Еще сложнее обстоит дело в том случае, когда в качестве субъ</w:t>
      </w:r>
      <w:r>
        <w:rPr>
          <w:snapToGrid w:val="0"/>
        </w:rPr>
        <w:softHyphen/>
        <w:t>екта восприятия интерпретируется не только отдельный индивид, но и группа . Тогда к составленному перечню процессов соци</w:t>
      </w:r>
      <w:r>
        <w:rPr>
          <w:snapToGrid w:val="0"/>
        </w:rPr>
        <w:softHyphen/>
        <w:t>альной перцепции следует еще добавить: восприятие группой своего собственного члена ; восприятие группой представителя другой группы ; восприятие группой самой себя , наконец, воспри</w:t>
      </w:r>
      <w:r>
        <w:rPr>
          <w:snapToGrid w:val="0"/>
        </w:rPr>
        <w:softHyphen/>
        <w:t>ятие группой в целом другой группы.        Хотя этот второй ряд не является традиционным, однако в другой терминологии почти каж</w:t>
      </w:r>
      <w:r>
        <w:rPr>
          <w:snapToGrid w:val="0"/>
        </w:rPr>
        <w:softHyphen/>
        <w:t>дый из обозначенных здесь “случаев” исследуется в социальной психологии. Не все из них имеют отношение к проблеме взаимо</w:t>
      </w:r>
      <w:r>
        <w:rPr>
          <w:snapToGrid w:val="0"/>
        </w:rPr>
        <w:softHyphen/>
        <w:t xml:space="preserve">понимания партнеров по общению </w:t>
      </w:r>
    </w:p>
    <w:p w:rsidR="00E00DAE" w:rsidRDefault="00E00DAE">
      <w:pPr>
        <w:pStyle w:val="Mystyle"/>
        <w:rPr>
          <w:snapToGrid w:val="0"/>
        </w:rPr>
      </w:pPr>
      <w:r>
        <w:rPr>
          <w:snapToGrid w:val="0"/>
        </w:rPr>
        <w:t xml:space="preserve"> Для того чтобы более точно обозначить, о чем идет речь в ин</w:t>
      </w:r>
      <w:r>
        <w:rPr>
          <w:snapToGrid w:val="0"/>
        </w:rPr>
        <w:softHyphen/>
        <w:t>тересующем нас билете, целесообразно говорить не вообще о соци</w:t>
      </w:r>
      <w:r>
        <w:rPr>
          <w:snapToGrid w:val="0"/>
        </w:rPr>
        <w:softHyphen/>
        <w:t xml:space="preserve">альной перцепции, а о </w:t>
      </w:r>
      <w:r>
        <w:rPr>
          <w:i/>
          <w:iCs/>
          <w:snapToGrid w:val="0"/>
        </w:rPr>
        <w:t>межличностной перцепции, или межлич</w:t>
      </w:r>
      <w:r>
        <w:rPr>
          <w:i/>
          <w:iCs/>
          <w:snapToGrid w:val="0"/>
        </w:rPr>
        <w:softHyphen/>
        <w:t>ностном восприятии</w:t>
      </w:r>
      <w:r>
        <w:rPr>
          <w:snapToGrid w:val="0"/>
        </w:rPr>
        <w:t xml:space="preserve"> (или — как вариант — о восприятии человека человеком). Именно эти процессы непосредственно включены в общение в том его значении, в каком оно рассматривается здесь. Иными словами, в данном контексте речь идет лишь о позициях, выделенных красным цветом в вышеизложенной схеме. </w:t>
      </w:r>
    </w:p>
    <w:p w:rsidR="00E00DAE" w:rsidRDefault="00E00DAE">
      <w:pPr>
        <w:pStyle w:val="Mystyle"/>
        <w:rPr>
          <w:snapToGrid w:val="0"/>
        </w:rPr>
      </w:pPr>
      <w:r>
        <w:rPr>
          <w:snapToGrid w:val="0"/>
        </w:rPr>
        <w:t>Но кроме этого, возникает необхо</w:t>
      </w:r>
      <w:r>
        <w:rPr>
          <w:snapToGrid w:val="0"/>
        </w:rPr>
        <w:softHyphen/>
        <w:t>димость и еще в одном комментарии. Восприятие социальных объ</w:t>
      </w:r>
      <w:r>
        <w:rPr>
          <w:snapToGrid w:val="0"/>
        </w:rPr>
        <w:softHyphen/>
        <w:t>ектов обладает такими многочисленными специфическими черта</w:t>
      </w:r>
      <w:r>
        <w:rPr>
          <w:snapToGrid w:val="0"/>
        </w:rPr>
        <w:softHyphen/>
        <w:t>ми, что само употребление слова “восприятие” кажется здесь не совсем точным. Во всяком случае ряд феноменов, имеющих место при формировании представления о другом человеке, не уклады</w:t>
      </w:r>
      <w:r>
        <w:rPr>
          <w:snapToGrid w:val="0"/>
        </w:rPr>
        <w:softHyphen/>
        <w:t>вается в традиционное описание перцептивного процесса, как он дается в общей психологии. Поэтому в социально-психологичес</w:t>
      </w:r>
      <w:r>
        <w:rPr>
          <w:snapToGrid w:val="0"/>
        </w:rPr>
        <w:softHyphen/>
        <w:t>кой литературе до сих пор продолжается поиск наиболее точного понятия для характеристики описываемого процесса. Основная цель этого поиска состоит в том, чтобы включить в процесс восприятия другого человека в более полном объеме некоторые другие позна</w:t>
      </w:r>
      <w:r>
        <w:rPr>
          <w:snapToGrid w:val="0"/>
        </w:rPr>
        <w:softHyphen/>
        <w:t>вательные процессы. Многие исследователи предпочитают в этом случае обратиться к французскому выражению</w:t>
      </w:r>
      <w:r>
        <w:rPr>
          <w:snapToGrid w:val="0"/>
          <w:lang w:val="en-US"/>
        </w:rPr>
        <w:t xml:space="preserve"> “connaissanse d'autrui”,</w:t>
      </w:r>
      <w:r>
        <w:rPr>
          <w:snapToGrid w:val="0"/>
        </w:rPr>
        <w:t xml:space="preserve"> что означает не столько “восприятие другого”, сколько “познание другого”. В отечественной литературе также весьма часто в качестве синонима “восприятие другого человека” употребляет</w:t>
      </w:r>
      <w:r>
        <w:rPr>
          <w:snapToGrid w:val="0"/>
        </w:rPr>
        <w:softHyphen/>
        <w:t xml:space="preserve">ся выражение “познание другого человека”. </w:t>
      </w:r>
    </w:p>
    <w:p w:rsidR="00E00DAE" w:rsidRDefault="00E00DAE">
      <w:pPr>
        <w:pStyle w:val="Mystyle"/>
        <w:rPr>
          <w:snapToGrid w:val="0"/>
        </w:rPr>
      </w:pPr>
      <w:r>
        <w:rPr>
          <w:snapToGrid w:val="0"/>
        </w:rPr>
        <w:t xml:space="preserve"> Это более широкое понимание термина обусловлено специ</w:t>
      </w:r>
      <w:r>
        <w:rPr>
          <w:snapToGrid w:val="0"/>
        </w:rPr>
        <w:softHyphen/>
        <w:t>фическими чертами восприятия другого человека, к которым от</w:t>
      </w:r>
      <w:r>
        <w:rPr>
          <w:snapToGrid w:val="0"/>
        </w:rPr>
        <w:softHyphen/>
        <w:t>носится восприятие не только физических характеристик объекта, но и поведенческих его характеристик, формирование представле</w:t>
      </w:r>
      <w:r>
        <w:rPr>
          <w:snapToGrid w:val="0"/>
        </w:rPr>
        <w:softHyphen/>
        <w:t xml:space="preserve">ния о его намерениях, мыслях, способностях, эмоциях, установках и т.д.       Другой подход к проблемам восприятия, который также был использован в социально-психологических исследованиях по межличностной перцепции, связан со школой так называемой </w:t>
      </w:r>
      <w:r>
        <w:rPr>
          <w:i/>
          <w:iCs/>
          <w:snapToGrid w:val="0"/>
        </w:rPr>
        <w:t>транзактной психологии</w:t>
      </w:r>
      <w:r>
        <w:rPr>
          <w:snapToGrid w:val="0"/>
        </w:rPr>
        <w:t>. Здесь особенно подчеркнута мысль о том, что активное участие субъекта восприятия в транзакции предполагает учет роли ожиданий, желаний, намерений, прошло</w:t>
      </w:r>
      <w:r>
        <w:rPr>
          <w:snapToGrid w:val="0"/>
        </w:rPr>
        <w:softHyphen/>
        <w:t>го опыта субъекта как специфических детерминант перцептивной ситуации, что представляется особенно важным, когда познание другого человека рассматривается как основание не только для понимания партнера, но для установления с ним согласованных действий, особого рода отношений.</w:t>
      </w:r>
    </w:p>
    <w:p w:rsidR="00E00DAE" w:rsidRDefault="00E00DAE">
      <w:pPr>
        <w:pStyle w:val="Mystyle"/>
        <w:rPr>
          <w:snapToGrid w:val="0"/>
        </w:rPr>
      </w:pPr>
      <w:r>
        <w:rPr>
          <w:snapToGrid w:val="0"/>
        </w:rPr>
        <w:t>Все сказанное означает, что термин “социальная перцепция”, или, в более узком смысле слова, “межличностная перцепция”, “восприятие другого человека” употребляется в литературе в не</w:t>
      </w:r>
      <w:r>
        <w:rPr>
          <w:snapToGrid w:val="0"/>
        </w:rPr>
        <w:softHyphen/>
        <w:t>сколько вольном, даже метафорическом смысле, хотя последние исследования и в общей психологии восприятия характеризуются известным сближением восприятия и других познавательных про</w:t>
      </w:r>
      <w:r>
        <w:rPr>
          <w:snapToGrid w:val="0"/>
        </w:rPr>
        <w:softHyphen/>
        <w:t>цессов. В самом общем плане можно сказать, что восприятие дру</w:t>
      </w:r>
      <w:r>
        <w:rPr>
          <w:snapToGrid w:val="0"/>
        </w:rPr>
        <w:softHyphen/>
        <w:t>гого человека означает восприятие его внешних признаков, соот</w:t>
      </w:r>
      <w:r>
        <w:rPr>
          <w:snapToGrid w:val="0"/>
        </w:rPr>
        <w:softHyphen/>
        <w:t>несение их с личностными характеристиками воспринимаемого индивида и интерпретацию на этой основе его поступков.</w:t>
      </w:r>
    </w:p>
    <w:p w:rsidR="00E00DAE" w:rsidRDefault="00E00DAE">
      <w:pPr>
        <w:pStyle w:val="Mystyle"/>
      </w:pPr>
    </w:p>
    <w:p w:rsidR="00E00DAE" w:rsidRDefault="00E00DAE">
      <w:pPr>
        <w:pStyle w:val="Mystyle"/>
        <w:rPr>
          <w:lang w:val="en-US"/>
        </w:rPr>
      </w:pPr>
      <w:bookmarkStart w:id="0" w:name="_GoBack"/>
      <w:bookmarkEnd w:id="0"/>
    </w:p>
    <w:sectPr w:rsidR="00E00DAE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2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3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4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C32CB"/>
    <w:rsid w:val="00420DF5"/>
    <w:rsid w:val="00A11CAC"/>
    <w:rsid w:val="00DC32CB"/>
    <w:rsid w:val="00E00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5594076-5089-4687-B014-738005038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spacing w:before="240" w:after="60"/>
    </w:pPr>
    <w:rPr>
      <w:rFonts w:ascii="Arial" w:hAnsi="Arial" w:cs="Arial"/>
      <w:b/>
      <w:bCs/>
      <w:kern w:val="28"/>
      <w:sz w:val="28"/>
      <w:szCs w:val="28"/>
    </w:rPr>
  </w:style>
  <w:style w:type="paragraph" w:customStyle="1" w:styleId="2">
    <w:name w:val="заголовок 2"/>
    <w:basedOn w:val="a"/>
    <w:next w:val="a"/>
    <w:uiPriority w:val="9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4"/>
      <w:szCs w:val="24"/>
    </w:rPr>
  </w:style>
  <w:style w:type="paragraph" w:customStyle="1" w:styleId="3">
    <w:name w:val="заголовок 3"/>
    <w:basedOn w:val="a"/>
    <w:next w:val="a"/>
    <w:uiPriority w:val="99"/>
    <w:pPr>
      <w:keepNext/>
      <w:jc w:val="both"/>
      <w:outlineLvl w:val="2"/>
    </w:pPr>
    <w:rPr>
      <w:sz w:val="28"/>
      <w:szCs w:val="28"/>
    </w:rPr>
  </w:style>
  <w:style w:type="paragraph" w:customStyle="1" w:styleId="4">
    <w:name w:val="заголовок 4"/>
    <w:basedOn w:val="a"/>
    <w:next w:val="a"/>
    <w:uiPriority w:val="99"/>
    <w:pPr>
      <w:keepNext/>
      <w:jc w:val="center"/>
      <w:outlineLvl w:val="3"/>
    </w:pPr>
    <w:rPr>
      <w:b/>
      <w:bCs/>
      <w:sz w:val="28"/>
      <w:szCs w:val="28"/>
    </w:rPr>
  </w:style>
  <w:style w:type="paragraph" w:customStyle="1" w:styleId="8">
    <w:name w:val="заголовок 8"/>
    <w:basedOn w:val="a"/>
    <w:next w:val="a"/>
    <w:uiPriority w:val="99"/>
    <w:pPr>
      <w:spacing w:before="240" w:after="60"/>
    </w:pPr>
    <w:rPr>
      <w:rFonts w:ascii="Arial" w:hAnsi="Arial" w:cs="Arial"/>
      <w:i/>
      <w:iCs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jc w:val="both"/>
    </w:pPr>
    <w:rPr>
      <w:rFonts w:ascii="Courier New" w:hAnsi="Courier New" w:cs="Courier New"/>
      <w:b/>
      <w:bCs/>
      <w:sz w:val="24"/>
      <w:szCs w:val="24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0">
    <w:name w:val="Body Text 2"/>
    <w:basedOn w:val="a"/>
    <w:link w:val="21"/>
    <w:uiPriority w:val="99"/>
    <w:pPr>
      <w:jc w:val="both"/>
    </w:pPr>
    <w:rPr>
      <w:sz w:val="24"/>
      <w:szCs w:val="24"/>
    </w:rPr>
  </w:style>
  <w:style w:type="character" w:customStyle="1" w:styleId="21">
    <w:name w:val="Основной текст 2 Знак"/>
    <w:link w:val="20"/>
    <w:uiPriority w:val="99"/>
    <w:semiHidden/>
    <w:rPr>
      <w:rFonts w:ascii="Times New Roman" w:hAnsi="Times New Roman" w:cs="Times New Roman"/>
      <w:sz w:val="20"/>
      <w:szCs w:val="20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2">
    <w:name w:val="Body Text Indent 2"/>
    <w:basedOn w:val="a"/>
    <w:link w:val="23"/>
    <w:uiPriority w:val="99"/>
    <w:pPr>
      <w:spacing w:line="240" w:lineRule="atLeast"/>
      <w:ind w:right="-2812" w:firstLine="320"/>
    </w:pPr>
    <w:rPr>
      <w:sz w:val="24"/>
      <w:szCs w:val="24"/>
    </w:rPr>
  </w:style>
  <w:style w:type="character" w:customStyle="1" w:styleId="23">
    <w:name w:val="Основной текст с отступом 2 Знак"/>
    <w:link w:val="22"/>
    <w:uiPriority w:val="99"/>
    <w:semiHidden/>
    <w:rPr>
      <w:rFonts w:ascii="Times New Roman" w:hAnsi="Times New Roman" w:cs="Times New Roman"/>
      <w:sz w:val="20"/>
      <w:szCs w:val="20"/>
    </w:rPr>
  </w:style>
  <w:style w:type="paragraph" w:styleId="30">
    <w:name w:val="Body Text Indent 3"/>
    <w:basedOn w:val="a"/>
    <w:link w:val="31"/>
    <w:uiPriority w:val="99"/>
    <w:pPr>
      <w:spacing w:before="40" w:line="240" w:lineRule="atLeast"/>
      <w:ind w:right="-2812" w:firstLine="360"/>
    </w:pPr>
    <w:rPr>
      <w:sz w:val="24"/>
      <w:szCs w:val="24"/>
    </w:rPr>
  </w:style>
  <w:style w:type="character" w:customStyle="1" w:styleId="31">
    <w:name w:val="Основной текст с отступом 3 Знак"/>
    <w:link w:val="30"/>
    <w:uiPriority w:val="99"/>
    <w:semiHidden/>
    <w:rPr>
      <w:rFonts w:ascii="Times New Roman" w:hAnsi="Times New Roman" w:cs="Times New Roman"/>
      <w:sz w:val="16"/>
      <w:szCs w:val="16"/>
    </w:rPr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0"/>
      <w:szCs w:val="20"/>
    </w:rPr>
  </w:style>
  <w:style w:type="character" w:customStyle="1" w:styleId="a8">
    <w:name w:val="номер страницы"/>
    <w:uiPriority w:val="99"/>
  </w:style>
  <w:style w:type="paragraph" w:customStyle="1" w:styleId="10">
    <w:name w:val="оглавление 1"/>
    <w:basedOn w:val="a"/>
    <w:next w:val="a"/>
    <w:autoRedefine/>
    <w:uiPriority w:val="99"/>
  </w:style>
  <w:style w:type="paragraph" w:customStyle="1" w:styleId="24">
    <w:name w:val="оглавление 2"/>
    <w:basedOn w:val="a"/>
    <w:next w:val="a"/>
    <w:autoRedefine/>
    <w:uiPriority w:val="99"/>
    <w:pPr>
      <w:tabs>
        <w:tab w:val="right" w:leader="dot" w:pos="4536"/>
      </w:tabs>
      <w:ind w:left="142"/>
    </w:pPr>
    <w:rPr>
      <w:noProof/>
      <w:sz w:val="10"/>
      <w:szCs w:val="10"/>
      <w:lang w:val="en-US"/>
    </w:rPr>
  </w:style>
  <w:style w:type="paragraph" w:customStyle="1" w:styleId="32">
    <w:name w:val="оглавление 3"/>
    <w:basedOn w:val="a"/>
    <w:next w:val="a"/>
    <w:autoRedefine/>
    <w:uiPriority w:val="99"/>
    <w:pPr>
      <w:ind w:left="400"/>
    </w:pPr>
  </w:style>
  <w:style w:type="paragraph" w:customStyle="1" w:styleId="40">
    <w:name w:val="оглавление 4"/>
    <w:basedOn w:val="a"/>
    <w:next w:val="a"/>
    <w:autoRedefine/>
    <w:uiPriority w:val="99"/>
    <w:pPr>
      <w:ind w:left="600"/>
    </w:pPr>
  </w:style>
  <w:style w:type="paragraph" w:customStyle="1" w:styleId="5">
    <w:name w:val="оглавление 5"/>
    <w:basedOn w:val="a"/>
    <w:next w:val="a"/>
    <w:autoRedefine/>
    <w:uiPriority w:val="99"/>
    <w:pPr>
      <w:ind w:left="800"/>
    </w:pPr>
  </w:style>
  <w:style w:type="paragraph" w:customStyle="1" w:styleId="6">
    <w:name w:val="оглавление 6"/>
    <w:basedOn w:val="a"/>
    <w:next w:val="a"/>
    <w:autoRedefine/>
    <w:uiPriority w:val="99"/>
    <w:pPr>
      <w:ind w:left="1000"/>
    </w:pPr>
  </w:style>
  <w:style w:type="paragraph" w:customStyle="1" w:styleId="7">
    <w:name w:val="оглавление 7"/>
    <w:basedOn w:val="a"/>
    <w:next w:val="a"/>
    <w:autoRedefine/>
    <w:uiPriority w:val="99"/>
    <w:pPr>
      <w:ind w:left="1200"/>
    </w:pPr>
  </w:style>
  <w:style w:type="paragraph" w:customStyle="1" w:styleId="80">
    <w:name w:val="оглавление 8"/>
    <w:basedOn w:val="a"/>
    <w:next w:val="a"/>
    <w:autoRedefine/>
    <w:uiPriority w:val="99"/>
    <w:pPr>
      <w:ind w:left="1400"/>
    </w:pPr>
  </w:style>
  <w:style w:type="paragraph" w:customStyle="1" w:styleId="9">
    <w:name w:val="оглавление 9"/>
    <w:basedOn w:val="a"/>
    <w:next w:val="a"/>
    <w:autoRedefine/>
    <w:uiPriority w:val="99"/>
    <w:pPr>
      <w:ind w:left="1600"/>
    </w:pPr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b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3698</Words>
  <Characters>2108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Государство и право Англии в период сословно-представительной монархии</vt:lpstr>
    </vt:vector>
  </TitlesOfParts>
  <Company>ГУУ</Company>
  <LinksUpToDate>false</LinksUpToDate>
  <CharactersWithSpaces>5795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admin</cp:lastModifiedBy>
  <cp:revision>2</cp:revision>
  <dcterms:created xsi:type="dcterms:W3CDTF">2014-01-27T09:20:00Z</dcterms:created>
  <dcterms:modified xsi:type="dcterms:W3CDTF">2014-01-27T09:20:00Z</dcterms:modified>
</cp:coreProperties>
</file>