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66" w:rsidRDefault="00C26666">
      <w:pPr>
        <w:pStyle w:val="Mystyle"/>
      </w:pPr>
    </w:p>
    <w:p w:rsidR="00C26666" w:rsidRDefault="00C26666">
      <w:pPr>
        <w:pStyle w:val="Z16"/>
        <w:jc w:val="center"/>
      </w:pPr>
      <w:r>
        <w:t>Хлебников и Мандельштам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Общеизвестно, что Хлебников ввел для себя категорический запрет, прозвучавший клятвой в его рождественской сказке "Снежимочка": "Клянемся не употреблять иностранных слов!" И все же в конце жизни, составляя перечень "языков", им использовавшихся (таких, например, как "заумный язык", "звукопись", "словотворчество", "перевертни" и т.д.), пунктом шестым он пометил "иностранные слова", а пунктом двадцатым - "тайные". Закончив классическую гимназию, Хлебников учился в Казанском и Петербургском университетах и, значит, худо-бедно (при фантастической памяти!) владел древнегреческим, латынью, французским и немецким.</w:t>
      </w:r>
      <w:r>
        <w:br/>
        <w:t xml:space="preserve">В 1912 году Хлебников уговорил Матюшина напечатать несколько стихотворений тринадцатилетней девочки, "малороссиянки Милицы", ему - по его же признанию - очень нравилось, что юная протеже пылко восклицала в стихах: "Немецкий не буду учить никогда!" </w:t>
      </w:r>
      <w:r>
        <w:br/>
        <w:t xml:space="preserve">Мы возьмем лишь один пример из богатого арсенала хлебниковских загадок, строящийся на "тайном" скрещении русского и ненавистного ему и всегда отвергаемого немецкого языка. Тем более что сам поэт указывает на единую, </w:t>
      </w:r>
      <w:r>
        <w:rPr>
          <w:i/>
          <w:iCs/>
        </w:rPr>
        <w:t>общую</w:t>
      </w:r>
      <w:r>
        <w:t xml:space="preserve"> жизнь этой межъязыковой тайны: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Здесь немец говорит "Гейне"</w:t>
      </w:r>
      <w:r>
        <w:br/>
        <w:t>Здесь русский говорит "Хайне"</w:t>
      </w:r>
      <w:r>
        <w:br/>
      </w:r>
      <w:r>
        <w:rPr>
          <w:i/>
          <w:iCs/>
        </w:rPr>
        <w:t>И вечер бродит ворожейно</w:t>
      </w:r>
      <w:r>
        <w:rPr>
          <w:i/>
          <w:iCs/>
        </w:rPr>
        <w:br/>
        <w:t>По общей жизни тайне</w:t>
      </w:r>
      <w:r>
        <w:t>.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Только истинный гений может носить имя Гейне. Так имя великого немецкого поэта звучало не только для Хлебникова. Другой пример совместного ворожения: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 xml:space="preserve">Из всей небесной </w:t>
      </w:r>
      <w:r>
        <w:rPr>
          <w:i/>
          <w:iCs/>
        </w:rPr>
        <w:t>гот</w:t>
      </w:r>
      <w:r>
        <w:t>овальни</w:t>
      </w:r>
      <w:r>
        <w:br/>
        <w:t>Ты взял восстания мятеж,</w:t>
      </w:r>
      <w:r>
        <w:br/>
        <w:t>И он падет на наковальню</w:t>
      </w:r>
      <w:r>
        <w:br/>
        <w:t xml:space="preserve">Под молот - </w:t>
      </w:r>
      <w:r>
        <w:rPr>
          <w:i/>
          <w:iCs/>
        </w:rPr>
        <w:t>божеский</w:t>
      </w:r>
      <w:r>
        <w:t xml:space="preserve"> чертеж! (288)</w:t>
      </w:r>
    </w:p>
    <w:p w:rsidR="00C26666" w:rsidRDefault="00C26666">
      <w:pPr>
        <w:pStyle w:val="Mystyle"/>
        <w:jc w:val="center"/>
      </w:pPr>
      <w:r>
        <w:t>("Ладомир")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 xml:space="preserve">Чертеж Творца, рождаясь, восстает из небесной готовальни, и эта </w:t>
      </w:r>
      <w:r>
        <w:rPr>
          <w:i/>
          <w:iCs/>
        </w:rPr>
        <w:t>божественная готовальня</w:t>
      </w:r>
      <w:r>
        <w:t xml:space="preserve"> от </w:t>
      </w:r>
      <w:r>
        <w:rPr>
          <w:i/>
          <w:iCs/>
        </w:rPr>
        <w:t>нем.</w:t>
      </w:r>
      <w:r>
        <w:t xml:space="preserve"> Gott - "бог", "божество". В одном из черновиков: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Передо мной варился вар</w:t>
      </w:r>
      <w:r>
        <w:br/>
        <w:t>В котле для жаренья быка</w:t>
      </w:r>
      <w:r>
        <w:br/>
        <w:t>&lt;...&gt;</w:t>
      </w:r>
      <w:r>
        <w:br/>
      </w:r>
      <w:r>
        <w:rPr>
          <w:i/>
          <w:iCs/>
        </w:rPr>
        <w:t>Божественный повар</w:t>
      </w:r>
      <w:r>
        <w:rPr>
          <w:i/>
          <w:iCs/>
        </w:rPr>
        <w:br/>
        <w:t>Гот</w:t>
      </w:r>
      <w:r>
        <w:t>овился из меня со</w:t>
      </w:r>
      <w:r>
        <w:rPr>
          <w:i/>
          <w:iCs/>
        </w:rPr>
        <w:t>твор</w:t>
      </w:r>
      <w:r>
        <w:t>ить битки.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Богоборческого переваривания уроков первотворения мятежный поэт достигает, используя ту же готовальню, разбивает предначертанное Творцом и пытается создать свои пророческие письмена, пишет свою Единую Книгу.</w:t>
      </w:r>
      <w:r>
        <w:br/>
        <w:t>Для понимания поэтической кухни Хлебникова обратимся к началу одного из стихотворений 1919 года: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 xml:space="preserve">Над </w:t>
      </w:r>
      <w:r>
        <w:rPr>
          <w:i/>
          <w:iCs/>
        </w:rPr>
        <w:t>глухонемой</w:t>
      </w:r>
      <w:r>
        <w:t xml:space="preserve"> отчизной: "Не убей!"</w:t>
      </w:r>
      <w:r>
        <w:br/>
        <w:t xml:space="preserve">И </w:t>
      </w:r>
      <w:r>
        <w:rPr>
          <w:i/>
          <w:iCs/>
        </w:rPr>
        <w:t>голубой</w:t>
      </w:r>
      <w:r>
        <w:t xml:space="preserve"> станицей </w:t>
      </w:r>
      <w:r>
        <w:rPr>
          <w:i/>
          <w:iCs/>
        </w:rPr>
        <w:t>голубей</w:t>
      </w:r>
      <w:r>
        <w:br/>
        <w:t>Пьяница пением посоха пуль,</w:t>
      </w:r>
      <w:r>
        <w:br/>
        <w:t>Когда ворковало мычание гуль:</w:t>
      </w:r>
      <w:r>
        <w:br/>
        <w:t>"Взвод, направо, разом пли!"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 xml:space="preserve">Немецкий омоним - скреп, который держит и мотивирует, казалось бы, немотивированное и таинственное рядоположение образов "глухонемой отчизны" и "голубей". Это </w:t>
      </w:r>
      <w:r>
        <w:rPr>
          <w:i/>
          <w:iCs/>
        </w:rPr>
        <w:t>нем.</w:t>
      </w:r>
      <w:r>
        <w:t xml:space="preserve"> Taube - одновременно и "глухой", и "голубь". Такое прочтение покажется едва ли вероятным, если не прибегнуть к автору, весьма далеко отстоящему от языкового сумасбродства Хлебникова. Речь идет об Осипе Мандельштаме и его "Египетской марке". Окажется, что в двух заведомо независимых друг от друга текстах происходит </w:t>
      </w:r>
      <w:r>
        <w:rPr>
          <w:i/>
          <w:iCs/>
        </w:rPr>
        <w:t>одно и то же.</w:t>
      </w:r>
      <w:r>
        <w:t xml:space="preserve"> Вот пассаж о глухонемых из пятой части "Египетской марки" (1927):</w:t>
      </w:r>
      <w:r>
        <w:br/>
        <w:t xml:space="preserve">"В это время проходили через площадь [Дворцовую. - </w:t>
      </w:r>
      <w:r>
        <w:rPr>
          <w:i/>
          <w:iCs/>
        </w:rPr>
        <w:t>Г.А., В.М</w:t>
      </w:r>
      <w:r>
        <w:t xml:space="preserve">.] </w:t>
      </w:r>
      <w:r>
        <w:rPr>
          <w:i/>
          <w:iCs/>
        </w:rPr>
        <w:t>глухонемые</w:t>
      </w:r>
      <w:r>
        <w:t>: они сучили руками быструю пряжу. Они разговаривали. Старший управлял челноком. Ему помогали. То и дело подбегал со стороны мальчик, так растопырив пальцы, словно просил снять с них заплетенную диагоналями нитку, чтобы сплетение не повредилось. На них на всех - их было четверо - полагалось, очевидно, пять мотков. Один моток был лишним. Они говорили на языке ласточек и попрошаек и, непременно заметывая крупными стежками воздух, шили из него рубашку.</w:t>
      </w:r>
      <w:r>
        <w:br/>
        <w:t>Староста в гневе перепутал всю пряжу.</w:t>
      </w:r>
      <w:r>
        <w:br/>
      </w:r>
      <w:r>
        <w:rPr>
          <w:i/>
          <w:iCs/>
        </w:rPr>
        <w:t>Глухонемые</w:t>
      </w:r>
      <w:r>
        <w:t xml:space="preserve"> исчезли в арке Главного </w:t>
      </w:r>
      <w:r>
        <w:rPr>
          <w:i/>
          <w:iCs/>
        </w:rPr>
        <w:t>штаба</w:t>
      </w:r>
      <w:r>
        <w:t xml:space="preserve">, продолжая сучить свою пряжу, но уже гораздо спокойнее, словно засылали в разные стороны </w:t>
      </w:r>
      <w:r>
        <w:rPr>
          <w:i/>
          <w:iCs/>
        </w:rPr>
        <w:t>почтовых голубей</w:t>
      </w:r>
      <w:r>
        <w:t>" (II, 73).</w:t>
      </w:r>
      <w:r>
        <w:br/>
        <w:t xml:space="preserve">Подчеркиваем, речь идет о двух независимых друг от друга текстах: "Египетская марка" вышла в 1928 году, а стихотворение Хлебникова "Над глухонемой отчизной: "Не убей!"..." впервые было опубликовано лишь в третьем томе Собрания сочинений. Тем любопытнее корреспонденция этих текстов, развивающих одну и ту же языковую игру на </w:t>
      </w:r>
      <w:r>
        <w:rPr>
          <w:i/>
          <w:iCs/>
        </w:rPr>
        <w:t>нем.</w:t>
      </w:r>
      <w:r>
        <w:t xml:space="preserve"> Taube. Эдгар По писал в "Убийстве на улице Морг": "Подобно тому, как атлет гордится своей силой и ловкостью и находит удовольствие в упражнениях, заставляющих его мышцы работать, так аналитик радуется любой возможности что-то </w:t>
      </w:r>
      <w:r>
        <w:rPr>
          <w:i/>
          <w:iCs/>
        </w:rPr>
        <w:t>прояснить</w:t>
      </w:r>
      <w:r>
        <w:t xml:space="preserve"> или </w:t>
      </w:r>
      <w:r>
        <w:rPr>
          <w:i/>
          <w:iCs/>
        </w:rPr>
        <w:t>распутать</w:t>
      </w:r>
      <w:r>
        <w:t xml:space="preserve">. Всякая, хотя бы и нехитрая задача, высекающая искры из его таланта, ему приятна. Он обожает загадки, ребусы и криптограммы, обнаруживая в их решении проницательность, которая уму заурядному представляется чуть ли не сверхъестественной. Его решения, рожденные существом и душой метода, и в самом деле кажутся чудесами интуиции". </w:t>
      </w:r>
      <w:r>
        <w:br/>
        <w:t>"Пустота" (</w:t>
      </w:r>
      <w:r>
        <w:rPr>
          <w:i/>
          <w:iCs/>
        </w:rPr>
        <w:t>нем.</w:t>
      </w:r>
      <w:r>
        <w:t xml:space="preserve"> Taub) - фундаментальная онтологическая категория в мире Мандельштама: "...Для меня в бублике ценна дырка. А как же с бубличным тестом? Бублик можно слопать, а дырка останется. Настоящий труд - это брюссельское кружево. В нем главное то, на чем держится узор: воздух, проколы, прогулы"; "Пустота и зияние - великолепный товар" (II, 99, 83). Гете, называвший себя "смертельным врагом пустых звуков", так бы никогда не сказал, а для его ученика Мандельштама - это почти трюизм его парадоксалистского сознания. Великолепная пряжа глухонемых - кружево пустот и красноречивого молчания. Глухонемые на то и глухонемые, чтобы не слышать и не разговаривать, но "</w:t>
      </w:r>
      <w:r>
        <w:rPr>
          <w:i/>
          <w:iCs/>
        </w:rPr>
        <w:t>они разговаривали</w:t>
      </w:r>
      <w:r>
        <w:t xml:space="preserve">"! Материя языка прядется из немотствующего прогула и зияния. Сама немота таит в себе слово - mot: на глухонемых "полагалось, очевидно, пять </w:t>
      </w:r>
      <w:r>
        <w:rPr>
          <w:i/>
          <w:iCs/>
        </w:rPr>
        <w:t>мот</w:t>
      </w:r>
      <w:r>
        <w:t xml:space="preserve">ков. Один </w:t>
      </w:r>
      <w:r>
        <w:rPr>
          <w:i/>
          <w:iCs/>
        </w:rPr>
        <w:t>мот</w:t>
      </w:r>
      <w:r>
        <w:t xml:space="preserve">ок был лишним". У пустоты - свои уста. С этим охотно согласился бы и Пастернак. Taub - бубличная дырка, лееркастен, явленная пустота. Оно не только означает пустоту, оно и есть пустота. И эта пустотность, пронизывающая текст, как связку бубликов, - ножны, невидимый хребет, который держит многочисленные позвонки смыслов. "Здесь пространство существует лишь постольку, поскольку оно влагалище для амплитуд" (II, 246). </w:t>
      </w:r>
      <w:r>
        <w:br/>
        <w:t xml:space="preserve">Метафора "голубиной почты" (Taubenpost) раскрывает суть лирического строя: "Композиция &lt;...&gt; напоминает расписание сети воздушных сообщений или неустанное обращение голубиных почт" (II, 231). </w:t>
      </w:r>
      <w:r>
        <w:br/>
        <w:t xml:space="preserve">Taub отражается в созвучном и соприродном ему Staub ("пыль", "прах"). Чуть выше эпизода с глухонемыми: "А черные блестящие муравьи &lt;...&gt;, словно военные лошади, в фижмах </w:t>
      </w:r>
      <w:r>
        <w:rPr>
          <w:i/>
          <w:iCs/>
        </w:rPr>
        <w:t>пыли</w:t>
      </w:r>
      <w:r>
        <w:t xml:space="preserve"> скачущие на холм" (II, 72). Звуковой оттиск игры на Taub/Staub - </w:t>
      </w:r>
      <w:r>
        <w:rPr>
          <w:i/>
          <w:iCs/>
        </w:rPr>
        <w:t>штаб</w:t>
      </w:r>
      <w:r>
        <w:t xml:space="preserve"> ("Глухонемые исчезли в арке Главного штаба..."). Глухонемые, исчезающие в арке Главного штаба, т.е. архитектурной дыре, "расщелине петербургского гранита", выразительно обозначают предельную опустошенность и некоммуницируемость этого мира:</w:t>
      </w:r>
      <w:r>
        <w:br/>
        <w:t>"В мае месяце Петербург чем-то напоминает адресный стол, не выдающий справок, - особенно в районе Дворцовой площади. Здесь все до ужаса приготовлено к началу исторического заседания с белыми листами бумаги, с отточенными карандашами и с графином кипяченой воды.</w:t>
      </w:r>
      <w:r>
        <w:br/>
        <w:t>Еще раз повторяю: величие этого места в том, что справки никогда и никому не выдаются.</w:t>
      </w:r>
      <w:r>
        <w:br/>
        <w:t>В это время проходили через площадь глухонемые..." (II, 73).</w:t>
      </w:r>
      <w:r>
        <w:br/>
        <w:t>Дворцовая площадь и арка Главного штаба, с детства притягивавшие поэта, - предмет историософских размышлений: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Заснула чернь. Зияет площадь аркой.</w:t>
      </w:r>
      <w:r>
        <w:br/>
        <w:t>Луной облита бронзовая дверь.</w:t>
      </w:r>
      <w:r>
        <w:br/>
        <w:t>Здесь Арлекин вздыхал о славе яркой,</w:t>
      </w:r>
      <w:r>
        <w:br/>
        <w:t>И Александра здесь замучил Зверь.</w:t>
      </w:r>
    </w:p>
    <w:p w:rsidR="00C26666" w:rsidRDefault="00C26666">
      <w:pPr>
        <w:pStyle w:val="Mystyle"/>
        <w:jc w:val="center"/>
      </w:pPr>
      <w:r>
        <w:t>Курантов бой и тени государей:</w:t>
      </w:r>
      <w:r>
        <w:br/>
        <w:t xml:space="preserve">Россия, ты - на камне и крови - </w:t>
      </w:r>
      <w:r>
        <w:br/>
        <w:t>Участвовать в твоей железной каре</w:t>
      </w:r>
      <w:r>
        <w:br/>
        <w:t>Хоть тяжестью меня благослови!</w:t>
      </w:r>
    </w:p>
    <w:p w:rsidR="00C26666" w:rsidRDefault="00C26666">
      <w:pPr>
        <w:pStyle w:val="Mystyle"/>
        <w:jc w:val="center"/>
      </w:pPr>
      <w:r>
        <w:t>1913 (I, 87-88)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Кромешная ночь русской истории. Безмолвствующая чернь и тревожные тени государей. Какое-то проклятие, тяготеющее над всеми. И взмолившийся об участии в общей каре поэт. Зияющая арка - "прообраз гробового свода" - уже раскинулась над всей площадью. И на этих Дворцовых подмостках разыгрывается своя апокалиптическая commedia dell' arte, театр масок.</w:t>
      </w:r>
      <w:r>
        <w:br/>
        <w:t>Нет смысла гадать, кто из русских императоров скрывается под маской арлекина - это образ принципиально собирательный. Любая тень годится для этого амплуа. Мандельштамовский арлекин вздыхает о "славе яркой" Пьеро-Петра I. Но даже Петр Великий не назван по имени, прямо, только "</w:t>
      </w:r>
      <w:r>
        <w:rPr>
          <w:i/>
          <w:iCs/>
        </w:rPr>
        <w:t>камнем</w:t>
      </w:r>
      <w:r>
        <w:t xml:space="preserve"> и кровью". Правом на имя обладает поэт. Только Пушкин может быть назван царственно и просто - Александр. Певец Петербурга и его творца, Пушкин и был погублен зверем ненависти и рабской злобы. В роковом треугольнике Дворцового театра Коломбина - это сама Россия, но это мертвая Коломбина. Россия - гробовой склеп, усыпальница:</w:t>
      </w:r>
    </w:p>
    <w:p w:rsidR="00C26666" w:rsidRDefault="00C26666">
      <w:pPr>
        <w:pStyle w:val="Mystyle"/>
      </w:pPr>
      <w:r>
        <w:t xml:space="preserve"> </w:t>
      </w:r>
    </w:p>
    <w:p w:rsidR="00C26666" w:rsidRDefault="00C26666">
      <w:pPr>
        <w:pStyle w:val="Mystyle"/>
        <w:jc w:val="center"/>
      </w:pPr>
      <w:r>
        <w:t>Чудовищно, как броненосец в доке -</w:t>
      </w:r>
      <w:r>
        <w:br/>
        <w:t>Россия отдыхает тяжело.</w:t>
      </w:r>
    </w:p>
    <w:p w:rsidR="00C26666" w:rsidRDefault="00C26666">
      <w:pPr>
        <w:pStyle w:val="Mystyle"/>
        <w:jc w:val="center"/>
      </w:pPr>
      <w:r>
        <w:t>"Петербургские строфы" (I, 85)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Во всеобщем саркофаге Петербурга живут мертвецов голоса, а живых - захоронены заживо. "В Петербурге жить - точно спать в гробу" - по определению Мандельштама (I, 169). Ощущение этого колумбария - у Ахматовой: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О, сердце любит сладостно и слепо!</w:t>
      </w:r>
      <w:r>
        <w:br/>
        <w:t xml:space="preserve">И радуют изысканные </w:t>
      </w:r>
      <w:r>
        <w:rPr>
          <w:i/>
          <w:iCs/>
        </w:rPr>
        <w:t>клумбы</w:t>
      </w:r>
      <w:r>
        <w:t>,</w:t>
      </w:r>
      <w:r>
        <w:br/>
        <w:t>И резкий крик вороны в небе черной,</w:t>
      </w:r>
      <w:r>
        <w:br/>
        <w:t xml:space="preserve">И в глубине аллеи </w:t>
      </w:r>
      <w:r>
        <w:rPr>
          <w:i/>
          <w:iCs/>
        </w:rPr>
        <w:t>арка склепа</w:t>
      </w:r>
      <w:r>
        <w:t>.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Гроб, спеленутый цветочной клумбой, - кокон, из глубины сердца разрываемый и воскрешаемый любовью. И для Мандельштама это тоже не конец. Тяжесть камня борется с арочной пустотой России. Благословения в этой нелегкой борьбе и требует поэт. Возносящаяся голубятня Исаакиевского собора - небесное отражение и пробуждение кладбищенского камня Коломбины-России: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Исакий под фатой молочной белизны</w:t>
      </w:r>
      <w:r>
        <w:br/>
        <w:t xml:space="preserve">Стоит седою </w:t>
      </w:r>
      <w:r>
        <w:rPr>
          <w:i/>
          <w:iCs/>
        </w:rPr>
        <w:t>голубятней</w:t>
      </w:r>
      <w:r>
        <w:t>,</w:t>
      </w:r>
      <w:r>
        <w:br/>
        <w:t xml:space="preserve">И </w:t>
      </w:r>
      <w:r>
        <w:rPr>
          <w:i/>
          <w:iCs/>
        </w:rPr>
        <w:t>посох</w:t>
      </w:r>
      <w:r>
        <w:t xml:space="preserve"> бередит седые тишины</w:t>
      </w:r>
      <w:r>
        <w:br/>
        <w:t>И чин воздушный, сердцу внятный.</w:t>
      </w:r>
      <w:r>
        <w:br/>
        <w:t xml:space="preserve">Столетних </w:t>
      </w:r>
      <w:r>
        <w:rPr>
          <w:i/>
          <w:iCs/>
        </w:rPr>
        <w:t>панихид</w:t>
      </w:r>
      <w:r>
        <w:t xml:space="preserve"> блуждающий призрак...</w:t>
      </w:r>
    </w:p>
    <w:p w:rsidR="00C26666" w:rsidRDefault="00C26666">
      <w:pPr>
        <w:pStyle w:val="Mystyle"/>
        <w:jc w:val="center"/>
      </w:pPr>
      <w:r>
        <w:t>(I, 492)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 xml:space="preserve">Исаакиевский собор, где </w:t>
      </w:r>
      <w:r>
        <w:rPr>
          <w:i/>
          <w:iCs/>
        </w:rPr>
        <w:t>не</w:t>
      </w:r>
      <w:r>
        <w:t xml:space="preserve"> состоялась панихида по Пушкину, предстает невестой под фатой среди гробов и блуждающих призраков панихиды. Свадебное песнопение (в "Поэме без героя": "Голубица, гряди!") еще слито с гробовой тишиной панихиды, но эта тишина уже поколеблена посохом, указующим путь воскрешения и какого-то нового чина богослужения.</w:t>
      </w:r>
      <w:r>
        <w:br/>
        <w:t xml:space="preserve">Губительная безместность этой "глухонемой отчизны" характерна и для "Египетской марки", и для хлебниковского стихотворения "Над глухонемой отчизной: "Не убей!"..." Пастернак также называет это время - начало двадцатых - глухонемым. </w:t>
      </w:r>
      <w:r>
        <w:br/>
        <w:t xml:space="preserve">Мандельштам не зря именовал Хлебникова кротом, прорывшим в языке ходы на сотню лет вперед. Но когда сам Мандельштам, скрывая это не хуже великого современника, кроит и перекраивает язык, мы убеждаемся, что эти подземные кумиры слова прекрасно понимают и продолжают друг друга. </w:t>
      </w:r>
      <w:r>
        <w:br/>
        <w:t>В ином сочетании мандельштамовская образность уже заявлена в 1914 году в стихах "Камня" и прежде всего в стихотворениях "Посох" и "Ода Бетховену". Посох (</w:t>
      </w:r>
      <w:r>
        <w:rPr>
          <w:i/>
          <w:iCs/>
        </w:rPr>
        <w:t>нем.</w:t>
      </w:r>
      <w:r>
        <w:t xml:space="preserve"> Stab) вселенского пилигрима, покинувшего отчизну и отправляющегося в Рим, откликается в "Оде Бетховену" испепеляющей и чрезмерной радостью </w:t>
      </w:r>
      <w:r>
        <w:rPr>
          <w:i/>
          <w:iCs/>
        </w:rPr>
        <w:t>глухого</w:t>
      </w:r>
      <w:r>
        <w:t xml:space="preserve"> музыканта, "дивного пешехода", который "стремительно ступает" по огненной тропе Диониса и Заратустры. Его мучительная глухота расцветает посохом осиянного Аарона, разрывающим шатер "царской скинии", чтобы указать на торжество единого Бога: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О, величавой жертвы пламя!</w:t>
      </w:r>
      <w:r>
        <w:br/>
        <w:t xml:space="preserve">Полнеба охватил костер - </w:t>
      </w:r>
      <w:r>
        <w:br/>
        <w:t>И царской скинии над нами</w:t>
      </w:r>
      <w:r>
        <w:br/>
        <w:t>Разодран шелковый шатер.</w:t>
      </w:r>
      <w:r>
        <w:br/>
        <w:t>И в промежутке воспаленном,</w:t>
      </w:r>
      <w:r>
        <w:br/>
        <w:t xml:space="preserve">Где мы не видим ничего, - </w:t>
      </w:r>
      <w:r>
        <w:br/>
        <w:t>Ты указал в чертоге тронном</w:t>
      </w:r>
      <w:r>
        <w:br/>
        <w:t>На белой славы торжество!</w:t>
      </w:r>
    </w:p>
    <w:p w:rsidR="00C26666" w:rsidRDefault="00C26666">
      <w:pPr>
        <w:pStyle w:val="Mystyle"/>
        <w:jc w:val="center"/>
      </w:pPr>
      <w:r>
        <w:t>(I, 101)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В хлебниковском стихотворении голубиная глухота отчизны расцветает не пророческим жезлом, а "пением посоха пуль", огнем выстрелов. Посох превращается в стальной ружейный ствол, сеющий смерть и разрушение, откровение - в кровь. Россия в болезни и огне, она - глухонема и не слышит призыва "Не убий". Голубая страница еще голубее от дыма выстрелов, а мирное воркование голубей оборачивается глухим мычанием пуль.</w:t>
      </w:r>
      <w:r>
        <w:br/>
        <w:t xml:space="preserve">В статье "Утро акмеизма" (1913) Мандельштам писал: "...Я говорю, в сущности, знаками, а не словом. </w:t>
      </w:r>
      <w:r>
        <w:rPr>
          <w:i/>
          <w:iCs/>
        </w:rPr>
        <w:t>Глухонемые</w:t>
      </w:r>
      <w:r>
        <w:t xml:space="preserve"> отлично понимают друг друга, и железнодорожные </w:t>
      </w:r>
      <w:r>
        <w:rPr>
          <w:i/>
          <w:iCs/>
        </w:rPr>
        <w:t>семафоры</w:t>
      </w:r>
      <w:r>
        <w:t xml:space="preserve"> выполняют весьма сложное назначение, не прибегая к помощи слова" (II, 142). Связь этих семиотических систем - языка глухонемых и железнодорожных огней - не случайна. Эпизоду с глухонемыми в "Египетской марке" предшествует своеобразный знак-семафор - цветной коронационный фонарик: "А я не получу приглашенья на барбизонский завтрак, хоть и разламывал в детстве шестигранные коронационные фонарики с зазубринкой и наводил на песчаный сосняк и можжевельник - то раздражительно-</w:t>
      </w:r>
      <w:r>
        <w:rPr>
          <w:i/>
          <w:iCs/>
        </w:rPr>
        <w:t>красную</w:t>
      </w:r>
      <w:r>
        <w:t xml:space="preserve"> трахому, то </w:t>
      </w:r>
      <w:r>
        <w:rPr>
          <w:i/>
          <w:iCs/>
        </w:rPr>
        <w:t>синюю</w:t>
      </w:r>
      <w:r>
        <w:t xml:space="preserve"> жвачку полдня какой-то </w:t>
      </w:r>
      <w:r>
        <w:rPr>
          <w:i/>
          <w:iCs/>
        </w:rPr>
        <w:t>чужой планеты</w:t>
      </w:r>
      <w:r>
        <w:t>, то лиловую кардинальскую ночь" (II, 72). Синий цвет этого семафора акмеизма зажжен Гумилевым:</w:t>
      </w:r>
    </w:p>
    <w:p w:rsidR="00C26666" w:rsidRDefault="00C26666">
      <w:pPr>
        <w:pStyle w:val="Mystyle"/>
      </w:pPr>
    </w:p>
    <w:p w:rsidR="00C26666" w:rsidRDefault="00C26666">
      <w:pPr>
        <w:pStyle w:val="Mystyle"/>
        <w:jc w:val="center"/>
      </w:pPr>
      <w:r>
        <w:t>На далекой звезде Венере</w:t>
      </w:r>
      <w:r>
        <w:br/>
        <w:t>Солнце пламенней и золотистей,</w:t>
      </w:r>
      <w:r>
        <w:br/>
        <w:t>На Венере, ах, на Венере</w:t>
      </w:r>
      <w:r>
        <w:br/>
        <w:t>У деревьев синие листья.</w:t>
      </w:r>
      <w:r>
        <w:br/>
        <w:t>&lt;...&gt;</w:t>
      </w:r>
      <w:r>
        <w:br/>
        <w:t>На Венере, ах, на Венере</w:t>
      </w:r>
      <w:r>
        <w:br/>
        <w:t>Нету слов обидных и властных,</w:t>
      </w:r>
      <w:r>
        <w:br/>
        <w:t>Говорят ангелы на Венере</w:t>
      </w:r>
      <w:r>
        <w:br/>
        <w:t>Языком из одних только гласных.</w:t>
      </w:r>
      <w:r>
        <w:br/>
        <w:t>&lt;...&gt;</w:t>
      </w:r>
      <w:r>
        <w:br/>
        <w:t>На Венере, ах, на Венере</w:t>
      </w:r>
      <w:r>
        <w:br/>
        <w:t>Нету смерти, терпкой и душной.</w:t>
      </w:r>
      <w:r>
        <w:br/>
        <w:t xml:space="preserve">Если умирают на Венере - </w:t>
      </w:r>
      <w:r>
        <w:br/>
        <w:t>Превращаются в пар воздушный.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t>На железнодорожном вокзале Павловска, где некогда прошло детство, - "на тризне милой тени / В последний раз нам музыка звучит!" (I, 139). В "Египетской марке" музыка уже не звучит, а тени поэтов сменяются китайским театром теней: "Открытые вагонетки железной дороги... &lt;...&gt; Уже весь воздух казался огромным вокзалом для жирных нетерпеливых роз. А черные блестящие муравьи, как плотоядные актеры китайского театра в старинной пьесе с палачом..." (II, 72). Сразу после этого действие переносится на Дворцовую площадь. Сохраняя семиотический смысл, глухонемота в "Египетской марке" превращается в политический символ. Глухонемые заняты игрой в переснимание нитей, заплетенных диагоналями. Одна из фигур нитей образует пятиконечную звезду.</w:t>
      </w:r>
      <w:r>
        <w:br/>
        <w:t>Шестигранный монархический фонарь Дворцовой площади превратился в пятиконечную звезду.</w:t>
      </w:r>
    </w:p>
    <w:p w:rsidR="00C26666" w:rsidRDefault="00C2666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F3E04">
        <w:t>http://www.studentu.ru</w:t>
      </w:r>
      <w:r>
        <w:t xml:space="preserve"> </w:t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  <w:r>
        <w:br/>
      </w:r>
    </w:p>
    <w:p w:rsidR="00C26666" w:rsidRDefault="00C26666">
      <w:pPr>
        <w:pStyle w:val="Mystyle"/>
      </w:pPr>
    </w:p>
    <w:p w:rsidR="00C26666" w:rsidRDefault="00C26666">
      <w:pPr>
        <w:pStyle w:val="Mystyle"/>
      </w:pPr>
    </w:p>
    <w:p w:rsidR="00C26666" w:rsidRDefault="00C26666">
      <w:pPr>
        <w:pStyle w:val="Mystyle"/>
      </w:pPr>
      <w:bookmarkStart w:id="0" w:name="_GoBack"/>
      <w:bookmarkEnd w:id="0"/>
    </w:p>
    <w:sectPr w:rsidR="00C2666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A683550"/>
    <w:multiLevelType w:val="multilevel"/>
    <w:tmpl w:val="11CAB0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62C220E"/>
    <w:multiLevelType w:val="multilevel"/>
    <w:tmpl w:val="38441C3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E04"/>
    <w:rsid w:val="007F3E04"/>
    <w:rsid w:val="00AF1C28"/>
    <w:rsid w:val="00C26666"/>
    <w:rsid w:val="00D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55A802-F747-4919-998F-F4244EE3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outlineLvl w:val="0"/>
    </w:pPr>
    <w:rPr>
      <w:b/>
      <w:bCs/>
      <w:i/>
      <w:iCs/>
      <w:sz w:val="28"/>
      <w:szCs w:val="28"/>
      <w:u w:val="single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customStyle="1" w:styleId="ad">
    <w:name w:val="Готовый"/>
    <w:basedOn w:val="a"/>
    <w:uiPriority w:val="99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8403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2014-01-27T04:36:00Z</dcterms:created>
  <dcterms:modified xsi:type="dcterms:W3CDTF">2014-01-27T04:36:00Z</dcterms:modified>
</cp:coreProperties>
</file>