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7F" w:rsidRPr="002F7F7F" w:rsidRDefault="00206DBE" w:rsidP="004717CF">
      <w:pPr>
        <w:pStyle w:val="afe"/>
      </w:pPr>
      <w:r w:rsidRPr="002F7F7F">
        <w:t>Федеральное агентство по образованию</w:t>
      </w:r>
    </w:p>
    <w:p w:rsidR="00206DBE" w:rsidRPr="002F7F7F" w:rsidRDefault="00206DBE" w:rsidP="004717CF">
      <w:pPr>
        <w:pStyle w:val="afe"/>
      </w:pPr>
      <w:r w:rsidRPr="002F7F7F">
        <w:t xml:space="preserve">Государственное образовательное учреждение </w:t>
      </w:r>
    </w:p>
    <w:p w:rsidR="002F7F7F" w:rsidRPr="002F7F7F" w:rsidRDefault="00EB33A5" w:rsidP="004717CF">
      <w:pPr>
        <w:pStyle w:val="afe"/>
      </w:pPr>
      <w:r>
        <w:rPr>
          <w:lang w:val="uk-UA"/>
        </w:rPr>
        <w:t>В</w:t>
      </w:r>
      <w:r w:rsidR="00206DBE" w:rsidRPr="002F7F7F">
        <w:t xml:space="preserve">ысшего профессионального образования </w:t>
      </w:r>
    </w:p>
    <w:p w:rsidR="00206DBE" w:rsidRPr="002F7F7F" w:rsidRDefault="002F7F7F" w:rsidP="004717CF">
      <w:pPr>
        <w:pStyle w:val="afe"/>
      </w:pPr>
      <w:r w:rsidRPr="002F7F7F">
        <w:t>"</w:t>
      </w:r>
      <w:r w:rsidR="00206DBE" w:rsidRPr="002F7F7F">
        <w:t>Санкт-Петербургский государственный</w:t>
      </w:r>
      <w:r w:rsidRPr="002F7F7F">
        <w:t xml:space="preserve"> </w:t>
      </w:r>
    </w:p>
    <w:p w:rsidR="002F7F7F" w:rsidRPr="002F7F7F" w:rsidRDefault="00206DBE" w:rsidP="004717CF">
      <w:pPr>
        <w:pStyle w:val="afe"/>
      </w:pPr>
      <w:r w:rsidRPr="002F7F7F">
        <w:t>инженерно-экономический университет</w:t>
      </w:r>
      <w:r w:rsidR="002F7F7F" w:rsidRPr="002F7F7F">
        <w:t>"</w:t>
      </w:r>
    </w:p>
    <w:p w:rsidR="002F7F7F" w:rsidRPr="002F7F7F" w:rsidRDefault="00206DBE" w:rsidP="004717CF">
      <w:pPr>
        <w:pStyle w:val="afe"/>
      </w:pPr>
      <w:r w:rsidRPr="002F7F7F">
        <w:t>Кафедра финансов и банковского дела</w:t>
      </w:r>
    </w:p>
    <w:p w:rsidR="004717CF" w:rsidRDefault="004717CF" w:rsidP="004717CF">
      <w:pPr>
        <w:pStyle w:val="afe"/>
        <w:rPr>
          <w:lang w:val="uk-UA"/>
        </w:rPr>
      </w:pPr>
    </w:p>
    <w:p w:rsidR="004717CF" w:rsidRDefault="004717CF" w:rsidP="004717CF">
      <w:pPr>
        <w:pStyle w:val="afe"/>
        <w:rPr>
          <w:lang w:val="uk-UA"/>
        </w:rPr>
      </w:pPr>
    </w:p>
    <w:p w:rsidR="004717CF" w:rsidRDefault="004717CF" w:rsidP="004717CF">
      <w:pPr>
        <w:pStyle w:val="afe"/>
        <w:rPr>
          <w:lang w:val="uk-UA"/>
        </w:rPr>
      </w:pPr>
    </w:p>
    <w:p w:rsidR="004717CF" w:rsidRDefault="004717CF" w:rsidP="004717CF">
      <w:pPr>
        <w:pStyle w:val="afe"/>
        <w:rPr>
          <w:lang w:val="uk-UA"/>
        </w:rPr>
      </w:pPr>
    </w:p>
    <w:p w:rsidR="004717CF" w:rsidRDefault="004717CF" w:rsidP="004717CF">
      <w:pPr>
        <w:pStyle w:val="afe"/>
        <w:rPr>
          <w:lang w:val="uk-UA"/>
        </w:rPr>
      </w:pPr>
    </w:p>
    <w:p w:rsidR="002F7F7F" w:rsidRPr="002F7F7F" w:rsidRDefault="00206DBE" w:rsidP="004717CF">
      <w:pPr>
        <w:pStyle w:val="afe"/>
      </w:pPr>
      <w:r w:rsidRPr="002F7F7F">
        <w:t>Доклад по дисциплине</w:t>
      </w:r>
    </w:p>
    <w:p w:rsidR="00206DBE" w:rsidRPr="002F7F7F" w:rsidRDefault="00EB33A5" w:rsidP="004717CF">
      <w:pPr>
        <w:pStyle w:val="afe"/>
      </w:pPr>
      <w:r>
        <w:t>Ры</w:t>
      </w:r>
      <w:r w:rsidR="00206DBE" w:rsidRPr="002F7F7F">
        <w:t>нок Ценных бумаг</w:t>
      </w:r>
    </w:p>
    <w:p w:rsidR="004717CF" w:rsidRDefault="00206DBE" w:rsidP="004717CF">
      <w:pPr>
        <w:pStyle w:val="afe"/>
        <w:rPr>
          <w:lang w:val="uk-UA"/>
        </w:rPr>
      </w:pPr>
      <w:r w:rsidRPr="002F7F7F">
        <w:t xml:space="preserve">на тему </w:t>
      </w:r>
    </w:p>
    <w:p w:rsidR="002F7F7F" w:rsidRPr="002F7F7F" w:rsidRDefault="002F7F7F" w:rsidP="004717CF">
      <w:pPr>
        <w:pStyle w:val="afe"/>
      </w:pPr>
      <w:r w:rsidRPr="002F7F7F">
        <w:t>"</w:t>
      </w:r>
      <w:r w:rsidR="00206DBE" w:rsidRPr="002F7F7F">
        <w:t>Инвестиционные компании, их роль и функции на рынке ценных бумаг</w:t>
      </w:r>
      <w:r w:rsidRPr="002F7F7F">
        <w:t>"</w:t>
      </w:r>
    </w:p>
    <w:p w:rsidR="004717CF" w:rsidRDefault="004717CF" w:rsidP="004717CF">
      <w:pPr>
        <w:pStyle w:val="afe"/>
        <w:jc w:val="both"/>
        <w:rPr>
          <w:lang w:val="uk-UA"/>
        </w:rPr>
      </w:pPr>
    </w:p>
    <w:p w:rsidR="004717CF" w:rsidRDefault="004717CF" w:rsidP="004717CF">
      <w:pPr>
        <w:pStyle w:val="afe"/>
        <w:jc w:val="both"/>
        <w:rPr>
          <w:lang w:val="uk-UA"/>
        </w:rPr>
      </w:pPr>
    </w:p>
    <w:p w:rsidR="004717CF" w:rsidRDefault="004717CF" w:rsidP="004717CF">
      <w:pPr>
        <w:pStyle w:val="afe"/>
        <w:jc w:val="both"/>
        <w:rPr>
          <w:lang w:val="uk-UA"/>
        </w:rPr>
      </w:pPr>
    </w:p>
    <w:p w:rsidR="00206DBE" w:rsidRPr="002F7F7F" w:rsidRDefault="00206DBE" w:rsidP="004717CF">
      <w:pPr>
        <w:pStyle w:val="afe"/>
        <w:jc w:val="both"/>
      </w:pPr>
      <w:r w:rsidRPr="002F7F7F">
        <w:t>Выполнил</w:t>
      </w:r>
      <w:r w:rsidR="002F7F7F" w:rsidRPr="002F7F7F">
        <w:t xml:space="preserve">: </w:t>
      </w:r>
      <w:r w:rsidRPr="002F7F7F">
        <w:t>Гаман Е</w:t>
      </w:r>
      <w:r w:rsidR="002F7F7F">
        <w:t xml:space="preserve">.А. </w:t>
      </w:r>
    </w:p>
    <w:p w:rsidR="00206DBE" w:rsidRPr="002F7F7F" w:rsidRDefault="00206DBE" w:rsidP="004717CF">
      <w:pPr>
        <w:pStyle w:val="afe"/>
        <w:jc w:val="both"/>
      </w:pPr>
      <w:r w:rsidRPr="002F7F7F">
        <w:t>студентка 3 курса, срок обучения 4 года 9 месяцев</w:t>
      </w:r>
    </w:p>
    <w:p w:rsidR="00206DBE" w:rsidRPr="002F7F7F" w:rsidRDefault="00206DBE" w:rsidP="004717CF">
      <w:pPr>
        <w:pStyle w:val="afe"/>
        <w:jc w:val="both"/>
      </w:pPr>
      <w:r w:rsidRPr="002F7F7F">
        <w:t>группа № 3341 № зачетной книжки 33371/04</w:t>
      </w:r>
    </w:p>
    <w:p w:rsidR="00206DBE" w:rsidRPr="002F7F7F" w:rsidRDefault="00206DBE" w:rsidP="004717CF">
      <w:pPr>
        <w:pStyle w:val="afe"/>
        <w:jc w:val="both"/>
      </w:pPr>
      <w:r w:rsidRPr="002F7F7F">
        <w:t>специальность 060400</w:t>
      </w:r>
      <w:r w:rsidR="002F7F7F" w:rsidRPr="002F7F7F">
        <w:t xml:space="preserve"> - </w:t>
      </w:r>
      <w:r w:rsidRPr="002F7F7F">
        <w:t>Финансы и кредит</w:t>
      </w:r>
    </w:p>
    <w:p w:rsidR="002F7F7F" w:rsidRPr="002F7F7F" w:rsidRDefault="00206DBE" w:rsidP="004717CF">
      <w:pPr>
        <w:pStyle w:val="afe"/>
        <w:jc w:val="both"/>
      </w:pPr>
      <w:r w:rsidRPr="002F7F7F">
        <w:t>Подпись</w:t>
      </w:r>
      <w:r w:rsidR="002F7F7F" w:rsidRPr="002F7F7F">
        <w:t xml:space="preserve">: </w:t>
      </w:r>
      <w:r w:rsidRPr="002F7F7F">
        <w:t>__________________________________________</w:t>
      </w:r>
    </w:p>
    <w:p w:rsidR="002F7F7F" w:rsidRDefault="00206DBE" w:rsidP="004717CF">
      <w:pPr>
        <w:pStyle w:val="afe"/>
        <w:jc w:val="both"/>
      </w:pPr>
      <w:r w:rsidRPr="002F7F7F">
        <w:t>Преподаватель</w:t>
      </w:r>
      <w:r w:rsidR="002F7F7F" w:rsidRPr="002F7F7F">
        <w:t xml:space="preserve">: </w:t>
      </w:r>
      <w:r w:rsidRPr="002F7F7F">
        <w:t>Матвеева Н</w:t>
      </w:r>
      <w:r w:rsidR="002F7F7F">
        <w:t xml:space="preserve">.С. </w:t>
      </w:r>
    </w:p>
    <w:p w:rsidR="00206DBE" w:rsidRPr="002F7F7F" w:rsidRDefault="00206DBE" w:rsidP="004717CF">
      <w:pPr>
        <w:pStyle w:val="afe"/>
        <w:jc w:val="both"/>
      </w:pPr>
      <w:r w:rsidRPr="002F7F7F">
        <w:t>Должность</w:t>
      </w:r>
      <w:r w:rsidR="002F7F7F" w:rsidRPr="002F7F7F">
        <w:t xml:space="preserve">: </w:t>
      </w:r>
    </w:p>
    <w:p w:rsidR="00206DBE" w:rsidRPr="002F7F7F" w:rsidRDefault="00206DBE" w:rsidP="004717CF">
      <w:pPr>
        <w:pStyle w:val="afe"/>
        <w:jc w:val="both"/>
      </w:pPr>
      <w:r w:rsidRPr="002F7F7F">
        <w:t>Оценка</w:t>
      </w:r>
      <w:r w:rsidR="002F7F7F" w:rsidRPr="002F7F7F">
        <w:t xml:space="preserve">: </w:t>
      </w:r>
      <w:r w:rsidRPr="002F7F7F">
        <w:t>________________ Дата</w:t>
      </w:r>
      <w:r w:rsidR="002F7F7F" w:rsidRPr="002F7F7F">
        <w:t xml:space="preserve">: </w:t>
      </w:r>
      <w:r w:rsidRPr="002F7F7F">
        <w:t>______________________</w:t>
      </w:r>
    </w:p>
    <w:p w:rsidR="002F7F7F" w:rsidRDefault="00206DBE" w:rsidP="004717CF">
      <w:pPr>
        <w:pStyle w:val="afe"/>
        <w:jc w:val="both"/>
      </w:pPr>
      <w:r w:rsidRPr="002F7F7F">
        <w:t>Подпись</w:t>
      </w:r>
      <w:r w:rsidR="002F7F7F" w:rsidRPr="002F7F7F">
        <w:t xml:space="preserve">: </w:t>
      </w:r>
      <w:r w:rsidRPr="002F7F7F">
        <w:t xml:space="preserve">__________________________________________ </w:t>
      </w:r>
    </w:p>
    <w:p w:rsidR="004717CF" w:rsidRDefault="004717CF" w:rsidP="004717CF">
      <w:pPr>
        <w:pStyle w:val="afe"/>
        <w:rPr>
          <w:lang w:val="uk-UA"/>
        </w:rPr>
      </w:pPr>
    </w:p>
    <w:p w:rsidR="002F7F7F" w:rsidRPr="002F7F7F" w:rsidRDefault="00206DBE" w:rsidP="004717CF">
      <w:pPr>
        <w:pStyle w:val="afe"/>
      </w:pPr>
      <w:r w:rsidRPr="002F7F7F">
        <w:t>Санкт-Петербург</w:t>
      </w:r>
      <w:r w:rsidR="004717CF">
        <w:rPr>
          <w:lang w:val="uk-UA"/>
        </w:rPr>
        <w:t xml:space="preserve"> </w:t>
      </w:r>
      <w:r w:rsidRPr="002F7F7F">
        <w:t>2007</w:t>
      </w:r>
    </w:p>
    <w:p w:rsidR="00012ED7" w:rsidRPr="002F7F7F" w:rsidRDefault="004717CF" w:rsidP="004717CF">
      <w:pPr>
        <w:pStyle w:val="2"/>
      </w:pPr>
      <w:r>
        <w:br w:type="page"/>
      </w:r>
      <w:r w:rsidR="00206DBE" w:rsidRPr="002F7F7F">
        <w:t>ВВЕДЕНИЕ</w:t>
      </w:r>
    </w:p>
    <w:p w:rsidR="004717CF" w:rsidRDefault="004717CF" w:rsidP="002F7F7F">
      <w:pPr>
        <w:widowControl w:val="0"/>
        <w:autoSpaceDE w:val="0"/>
        <w:autoSpaceDN w:val="0"/>
        <w:adjustRightInd w:val="0"/>
        <w:rPr>
          <w:lang w:val="uk-UA"/>
        </w:rPr>
      </w:pPr>
    </w:p>
    <w:p w:rsidR="00A13421" w:rsidRPr="002F7F7F" w:rsidRDefault="00A13421" w:rsidP="002F7F7F">
      <w:pPr>
        <w:widowControl w:val="0"/>
        <w:autoSpaceDE w:val="0"/>
        <w:autoSpaceDN w:val="0"/>
        <w:adjustRightInd w:val="0"/>
      </w:pPr>
      <w:r w:rsidRPr="002F7F7F">
        <w:t>Инвестиционные институты</w:t>
      </w:r>
      <w:r w:rsidR="002F7F7F" w:rsidRPr="002F7F7F">
        <w:t xml:space="preserve"> - </w:t>
      </w:r>
      <w:r w:rsidRPr="002F7F7F">
        <w:t>профессиональные участники рынка ценных бумаг, осуществляющие свою деятельность с ценными бумагами как исключительную</w:t>
      </w:r>
      <w:r w:rsidR="002F7F7F" w:rsidRPr="002F7F7F"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</w:pPr>
      <w:r w:rsidRPr="002F7F7F">
        <w:t xml:space="preserve">Именно инвестиционные институты </w:t>
      </w:r>
      <w:r w:rsidR="002D25C4" w:rsidRPr="002F7F7F">
        <w:t>являются</w:t>
      </w:r>
      <w:r w:rsidRPr="002F7F7F">
        <w:t xml:space="preserve"> теми финансовыми посредниками, которые запускают механизм фондового рынка, осуществляют перераспределение денежных ресурсов от тех, кто обладает денежными средствами, к тем, кто нуждается в дополнительных финансовых ресурсах для осуществления коммерческих проектов</w:t>
      </w:r>
      <w:r w:rsidR="002F7F7F" w:rsidRPr="002F7F7F"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</w:pPr>
      <w:r w:rsidRPr="002F7F7F">
        <w:t>Виды инвестиционных институтов</w:t>
      </w:r>
      <w:r w:rsidR="002F7F7F" w:rsidRPr="002F7F7F">
        <w:t xml:space="preserve">: </w:t>
      </w:r>
      <w:r w:rsidRPr="002F7F7F">
        <w:t>по российскому законодательству к ним относятся</w:t>
      </w:r>
      <w:r w:rsidR="002F7F7F" w:rsidRPr="002F7F7F">
        <w:t xml:space="preserve">: </w:t>
      </w:r>
      <w:r w:rsidRPr="002F7F7F">
        <w:t>а</w:t>
      </w:r>
      <w:r w:rsidR="002F7F7F" w:rsidRPr="002F7F7F">
        <w:t xml:space="preserve">) </w:t>
      </w:r>
      <w:r w:rsidRPr="002F7F7F">
        <w:t>финансовые брокеры, б</w:t>
      </w:r>
      <w:r w:rsidR="002F7F7F" w:rsidRPr="002F7F7F">
        <w:t xml:space="preserve">) </w:t>
      </w:r>
      <w:r w:rsidRPr="002F7F7F">
        <w:t>инвестиционные консультанты, в</w:t>
      </w:r>
      <w:r w:rsidR="002F7F7F" w:rsidRPr="002F7F7F">
        <w:t xml:space="preserve">) </w:t>
      </w:r>
      <w:r w:rsidRPr="002F7F7F">
        <w:t>инвестиционные компании, г</w:t>
      </w:r>
      <w:r w:rsidR="002F7F7F" w:rsidRPr="002F7F7F">
        <w:t xml:space="preserve">) </w:t>
      </w:r>
      <w:r w:rsidRPr="002F7F7F">
        <w:t>инвестиционные фонды</w:t>
      </w:r>
      <w:r w:rsidR="002F7F7F" w:rsidRPr="002F7F7F">
        <w:t xml:space="preserve">. 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rStyle w:val="aa"/>
          <w:b w:val="0"/>
          <w:bCs w:val="0"/>
        </w:rPr>
      </w:pPr>
      <w:r w:rsidRPr="002F7F7F">
        <w:rPr>
          <w:rStyle w:val="aa"/>
          <w:b w:val="0"/>
          <w:bCs w:val="0"/>
        </w:rPr>
        <w:t>Инвестиционная компания</w:t>
      </w:r>
      <w:r w:rsidR="002F7F7F" w:rsidRPr="002F7F7F">
        <w:rPr>
          <w:rStyle w:val="aa"/>
          <w:b w:val="0"/>
          <w:bCs w:val="0"/>
        </w:rPr>
        <w:t xml:space="preserve"> - </w:t>
      </w:r>
      <w:r w:rsidRPr="002F7F7F">
        <w:rPr>
          <w:rStyle w:val="aa"/>
          <w:b w:val="0"/>
          <w:bCs w:val="0"/>
        </w:rPr>
        <w:t>профессиональный участник рынка ценных бумаг оказывает услуги в рамках брокерских договоров и договоров доверительного управления</w:t>
      </w:r>
      <w:r w:rsidR="002F7F7F" w:rsidRPr="002F7F7F">
        <w:rPr>
          <w:rStyle w:val="aa"/>
          <w:b w:val="0"/>
          <w:bCs w:val="0"/>
        </w:rPr>
        <w:t xml:space="preserve">. </w:t>
      </w:r>
      <w:r w:rsidRPr="002F7F7F">
        <w:rPr>
          <w:rStyle w:val="aa"/>
          <w:b w:val="0"/>
          <w:bCs w:val="0"/>
        </w:rPr>
        <w:t>Клиентами организации являются юридические и физические лица</w:t>
      </w:r>
      <w:r w:rsidR="002F7F7F" w:rsidRPr="002F7F7F">
        <w:rPr>
          <w:rStyle w:val="aa"/>
          <w:b w:val="0"/>
          <w:bCs w:val="0"/>
        </w:rPr>
        <w:t xml:space="preserve">. 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</w:pPr>
      <w:r w:rsidRPr="002F7F7F">
        <w:t>В отличие от финансового брокера, это</w:t>
      </w:r>
      <w:r w:rsidR="002F7F7F" w:rsidRPr="002F7F7F">
        <w:t xml:space="preserve"> - </w:t>
      </w:r>
      <w:r w:rsidRPr="002F7F7F">
        <w:t xml:space="preserve">дилер, </w:t>
      </w:r>
      <w:r w:rsidR="002F7F7F" w:rsidRPr="002F7F7F">
        <w:t xml:space="preserve">т.е. </w:t>
      </w:r>
      <w:r w:rsidRPr="002F7F7F">
        <w:t>юридическое лицо, действующее на рынке ценных бумаг не за счет клиента, а за свой собственный счет</w:t>
      </w:r>
      <w:r w:rsidR="002F7F7F" w:rsidRPr="002F7F7F">
        <w:t xml:space="preserve">. </w:t>
      </w:r>
      <w:r w:rsidRPr="002F7F7F">
        <w:t>Инвестиционная компания является специализированным предприятием для</w:t>
      </w:r>
      <w:r w:rsidR="002F7F7F" w:rsidRPr="002F7F7F">
        <w:t xml:space="preserve">: </w:t>
      </w:r>
      <w:r w:rsidRPr="002F7F7F">
        <w:t>а</w:t>
      </w:r>
      <w:r w:rsidR="002F7F7F" w:rsidRPr="002F7F7F">
        <w:t xml:space="preserve">) </w:t>
      </w:r>
      <w:r w:rsidRPr="002F7F7F">
        <w:t>организации и гарантирования выпуска ценных бумаг, б</w:t>
      </w:r>
      <w:r w:rsidR="002F7F7F" w:rsidRPr="002F7F7F">
        <w:t xml:space="preserve">) </w:t>
      </w:r>
      <w:r w:rsidRPr="002F7F7F">
        <w:t>вложения средств в ценные бумаги, в</w:t>
      </w:r>
      <w:r w:rsidR="002F7F7F" w:rsidRPr="002F7F7F">
        <w:t xml:space="preserve">) </w:t>
      </w:r>
      <w:r w:rsidRPr="002F7F7F">
        <w:t>купли-продажи ценных бумаг в качестве дилера</w:t>
      </w:r>
      <w:r w:rsidR="002F7F7F" w:rsidRPr="002F7F7F">
        <w:t xml:space="preserve">. 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</w:pPr>
      <w:r w:rsidRPr="002F7F7F">
        <w:t>В российской практике произошла своеобразная подмена понятий</w:t>
      </w:r>
      <w:r w:rsidR="002F7F7F" w:rsidRPr="002F7F7F">
        <w:t xml:space="preserve">. </w:t>
      </w:r>
      <w:r w:rsidRPr="002F7F7F">
        <w:t>То, что мы называем инвестиционной компанией, в американской практике является инвестиционным банком</w:t>
      </w:r>
      <w:r w:rsidR="002F7F7F" w:rsidRPr="002F7F7F">
        <w:t xml:space="preserve">. </w:t>
      </w:r>
      <w:r w:rsidRPr="002F7F7F">
        <w:t>То, что мы называем инвестиционным фондом</w:t>
      </w:r>
      <w:r w:rsidR="002F7F7F" w:rsidRPr="002F7F7F">
        <w:t xml:space="preserve"> - </w:t>
      </w:r>
      <w:r w:rsidRPr="002F7F7F">
        <w:t>в практике США и других стран считается инвестиционной компанией</w:t>
      </w:r>
      <w:r w:rsidR="002F7F7F" w:rsidRPr="002F7F7F">
        <w:t xml:space="preserve">. </w:t>
      </w:r>
    </w:p>
    <w:p w:rsidR="00206DBE" w:rsidRDefault="00206DBE" w:rsidP="002F7F7F">
      <w:pPr>
        <w:widowControl w:val="0"/>
        <w:autoSpaceDE w:val="0"/>
        <w:autoSpaceDN w:val="0"/>
        <w:adjustRightInd w:val="0"/>
        <w:rPr>
          <w:lang w:val="uk-UA"/>
        </w:rPr>
      </w:pPr>
      <w:r w:rsidRPr="002F7F7F">
        <w:t>С другой стороны, в российской практике часто пытаются называть инвестиционным банком</w:t>
      </w:r>
      <w:r w:rsidR="002F7F7F" w:rsidRPr="002F7F7F">
        <w:t xml:space="preserve"> - </w:t>
      </w:r>
      <w:r w:rsidRPr="002F7F7F">
        <w:t>финансовую компанию, привлекающую денежные средства путем выпуска акций или иными способами и вкладывающую их в разнообразные объекты</w:t>
      </w:r>
      <w:r w:rsidR="002F7F7F" w:rsidRPr="002F7F7F">
        <w:t xml:space="preserve"> - </w:t>
      </w:r>
      <w:r w:rsidRPr="002F7F7F">
        <w:t>от ценных бумаг, недвижимости, земли, паев в различных обществах до договоров о совместной деятельности и предметов искусства</w:t>
      </w:r>
      <w:r w:rsidR="002F7F7F" w:rsidRPr="002F7F7F">
        <w:t xml:space="preserve">. </w:t>
      </w:r>
    </w:p>
    <w:p w:rsidR="004717CF" w:rsidRPr="004717CF" w:rsidRDefault="004717CF" w:rsidP="002F7F7F">
      <w:pPr>
        <w:widowControl w:val="0"/>
        <w:autoSpaceDE w:val="0"/>
        <w:autoSpaceDN w:val="0"/>
        <w:adjustRightInd w:val="0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025"/>
        <w:gridCol w:w="4395"/>
      </w:tblGrid>
      <w:tr w:rsidR="00206DBE" w:rsidRPr="002F7F7F" w:rsidTr="004717CF">
        <w:trPr>
          <w:trHeight w:val="647"/>
          <w:jc w:val="center"/>
        </w:trPr>
        <w:tc>
          <w:tcPr>
            <w:tcW w:w="2430" w:type="dxa"/>
          </w:tcPr>
          <w:p w:rsidR="00206DBE" w:rsidRPr="002F7F7F" w:rsidRDefault="00206DBE" w:rsidP="004717CF">
            <w:pPr>
              <w:pStyle w:val="af8"/>
            </w:pPr>
            <w:r w:rsidRPr="002F7F7F">
              <w:t>Зарубежные термины (США</w:t>
            </w:r>
            <w:r w:rsidR="002F7F7F" w:rsidRPr="002F7F7F">
              <w:t xml:space="preserve">) </w:t>
            </w:r>
          </w:p>
        </w:tc>
        <w:tc>
          <w:tcPr>
            <w:tcW w:w="2025" w:type="dxa"/>
          </w:tcPr>
          <w:p w:rsidR="00206DBE" w:rsidRPr="002F7F7F" w:rsidRDefault="00206DBE" w:rsidP="004717CF">
            <w:pPr>
              <w:pStyle w:val="af8"/>
            </w:pPr>
            <w:r w:rsidRPr="002F7F7F">
              <w:t>Отечественные аналоги</w:t>
            </w:r>
          </w:p>
        </w:tc>
        <w:tc>
          <w:tcPr>
            <w:tcW w:w="4395" w:type="dxa"/>
          </w:tcPr>
          <w:p w:rsidR="00206DBE" w:rsidRPr="002F7F7F" w:rsidRDefault="00206DBE" w:rsidP="004717CF">
            <w:pPr>
              <w:pStyle w:val="af8"/>
            </w:pPr>
            <w:r w:rsidRPr="002F7F7F">
              <w:t>Содержание понятия</w:t>
            </w:r>
          </w:p>
        </w:tc>
      </w:tr>
      <w:tr w:rsidR="00206DBE" w:rsidRPr="002F7F7F" w:rsidTr="004717CF">
        <w:trPr>
          <w:trHeight w:val="1792"/>
          <w:jc w:val="center"/>
        </w:trPr>
        <w:tc>
          <w:tcPr>
            <w:tcW w:w="2430" w:type="dxa"/>
          </w:tcPr>
          <w:p w:rsidR="00206DBE" w:rsidRPr="002F7F7F" w:rsidRDefault="00206DBE" w:rsidP="004717CF">
            <w:pPr>
              <w:pStyle w:val="af8"/>
            </w:pPr>
            <w:r w:rsidRPr="002F7F7F">
              <w:t>Инвестиционный банк = компания по ценным бумагам (в функциях, относящихся к первичному рынку</w:t>
            </w:r>
            <w:r w:rsidR="002F7F7F" w:rsidRPr="002F7F7F">
              <w:t xml:space="preserve">) </w:t>
            </w:r>
          </w:p>
        </w:tc>
        <w:tc>
          <w:tcPr>
            <w:tcW w:w="2025" w:type="dxa"/>
          </w:tcPr>
          <w:p w:rsidR="00206DBE" w:rsidRPr="002F7F7F" w:rsidRDefault="00206DBE" w:rsidP="004717CF">
            <w:pPr>
              <w:pStyle w:val="af8"/>
            </w:pPr>
            <w:r w:rsidRPr="002F7F7F">
              <w:t>Инвестиционная компания</w:t>
            </w:r>
          </w:p>
        </w:tc>
        <w:tc>
          <w:tcPr>
            <w:tcW w:w="4395" w:type="dxa"/>
          </w:tcPr>
          <w:p w:rsidR="00206DBE" w:rsidRPr="002F7F7F" w:rsidRDefault="00206DBE" w:rsidP="004717CF">
            <w:pPr>
              <w:pStyle w:val="af8"/>
            </w:pPr>
            <w:r w:rsidRPr="002F7F7F">
              <w:t>Институт, выступающий посредником между эмитентами и инвесторами при первичном размещении ценных бумаг, включая покупку выпусков и их последующую перепродажу</w:t>
            </w:r>
            <w:r w:rsidR="002F7F7F" w:rsidRPr="002F7F7F">
              <w:t xml:space="preserve">. </w:t>
            </w:r>
            <w:r w:rsidRPr="002F7F7F">
              <w:t>В США деятельность коммерческих и инвестиционных банков разделена, последние имеют специальное правовое регулирование</w:t>
            </w:r>
          </w:p>
        </w:tc>
      </w:tr>
    </w:tbl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86429" w:rsidRDefault="002D25C4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2F7F7F">
        <w:rPr>
          <w:color w:val="000000"/>
          <w:sz w:val="20"/>
          <w:szCs w:val="20"/>
        </w:rPr>
        <w:t>Инвестиционная компания – это объединение (корпорация</w:t>
      </w:r>
      <w:r w:rsidR="002F7F7F" w:rsidRPr="002F7F7F">
        <w:rPr>
          <w:color w:val="000000"/>
          <w:sz w:val="20"/>
          <w:szCs w:val="20"/>
        </w:rPr>
        <w:t xml:space="preserve">) </w:t>
      </w:r>
      <w:r w:rsidRPr="002F7F7F">
        <w:rPr>
          <w:color w:val="000000"/>
          <w:sz w:val="20"/>
          <w:szCs w:val="20"/>
        </w:rPr>
        <w:t>вкладывающее капитал посредством прямых и портфельных инвестиций и выполняющее некоторые функции коммерческих банков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Инвестиционные компании представлены холдинговыми компаниями, финансовыми группами и финансовыми компаниями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686429" w:rsidRDefault="002D25C4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2F7F7F">
        <w:rPr>
          <w:color w:val="000000"/>
          <w:sz w:val="20"/>
          <w:szCs w:val="20"/>
        </w:rPr>
        <w:t>Холдинговая компания представляет собой головную компанию, владеющую контрольным пакетом акций других акционерных обществ, называемых дочерними предприятиями, и специализирующуюся на управлении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Финансовой холдинговой компанией является компания, более 50% капитала которой составляют ценные бумаги других эмитентов и иные финансовые активы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686429" w:rsidRDefault="002D25C4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2F7F7F">
        <w:rPr>
          <w:color w:val="000000"/>
          <w:sz w:val="20"/>
          <w:szCs w:val="20"/>
        </w:rPr>
        <w:t>Данная компания имеет право осуществлять исключительно инвестиционную деятельность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Финансовая группа –</w:t>
      </w:r>
      <w:r w:rsidR="006C54D8" w:rsidRPr="002F7F7F">
        <w:rPr>
          <w:color w:val="000000"/>
          <w:sz w:val="20"/>
          <w:szCs w:val="20"/>
        </w:rPr>
        <w:t xml:space="preserve"> </w:t>
      </w:r>
      <w:r w:rsidRPr="002F7F7F">
        <w:rPr>
          <w:color w:val="000000"/>
          <w:sz w:val="20"/>
          <w:szCs w:val="20"/>
        </w:rPr>
        <w:t>это объединение предприятий</w:t>
      </w:r>
      <w:r w:rsidR="006C54D8" w:rsidRPr="002F7F7F">
        <w:rPr>
          <w:color w:val="000000"/>
          <w:sz w:val="20"/>
          <w:szCs w:val="20"/>
        </w:rPr>
        <w:t>, связанных в единое целое, но, в отличие от холдинга не имеющее головной фирмы,</w:t>
      </w:r>
      <w:r w:rsidRPr="002F7F7F">
        <w:rPr>
          <w:color w:val="000000"/>
          <w:sz w:val="20"/>
          <w:szCs w:val="20"/>
        </w:rPr>
        <w:t xml:space="preserve"> </w:t>
      </w:r>
      <w:r w:rsidR="006C54D8" w:rsidRPr="002F7F7F">
        <w:rPr>
          <w:color w:val="000000"/>
          <w:sz w:val="20"/>
          <w:szCs w:val="20"/>
        </w:rPr>
        <w:t>специализирующейся на управлении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2F7F7F" w:rsidRPr="002F7F7F" w:rsidRDefault="006C54D8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Финансовая компания – это корпорация, финансирующая выбранный по некоторому критерию узкий круг других корпораций и не осуществляющая диверсификации вложений, свойственных другим компаниям, и, в отличие от холдинга, не имеющая контрольных пакетов акций финансируемых ею корпораций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4717CF" w:rsidRDefault="004717CF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</w:p>
    <w:p w:rsidR="002F7F7F" w:rsidRPr="002F7F7F" w:rsidRDefault="004717CF" w:rsidP="004717CF">
      <w:pPr>
        <w:pStyle w:val="2"/>
      </w:pPr>
      <w:r>
        <w:br w:type="page"/>
      </w:r>
      <w:r w:rsidR="006C54D8" w:rsidRPr="002F7F7F">
        <w:t>ДЕЯТЕЛЬНОСТЬ ИНВЕСТИЦИОННОЙ КОМПАНИИ</w:t>
      </w:r>
    </w:p>
    <w:p w:rsidR="004717CF" w:rsidRDefault="004717CF" w:rsidP="002F7F7F">
      <w:pPr>
        <w:widowControl w:val="0"/>
        <w:autoSpaceDE w:val="0"/>
        <w:autoSpaceDN w:val="0"/>
        <w:adjustRightInd w:val="0"/>
        <w:rPr>
          <w:lang w:val="uk-UA"/>
        </w:rPr>
      </w:pPr>
    </w:p>
    <w:p w:rsidR="00206DBE" w:rsidRPr="002F7F7F" w:rsidRDefault="00206DBE" w:rsidP="002F7F7F">
      <w:pPr>
        <w:widowControl w:val="0"/>
        <w:autoSpaceDE w:val="0"/>
        <w:autoSpaceDN w:val="0"/>
        <w:adjustRightInd w:val="0"/>
      </w:pPr>
      <w:r w:rsidRPr="002F7F7F">
        <w:t>Инвестиционная компания (в российском понимании</w:t>
      </w:r>
      <w:r w:rsidR="002F7F7F" w:rsidRPr="002F7F7F">
        <w:t xml:space="preserve">) </w:t>
      </w:r>
      <w:r w:rsidRPr="002F7F7F">
        <w:t>имеет специфический оборот средств</w:t>
      </w:r>
      <w:r w:rsidR="002F7F7F" w:rsidRPr="002F7F7F">
        <w:t xml:space="preserve">. </w:t>
      </w:r>
      <w:r w:rsidRPr="002F7F7F">
        <w:t>Его структура (показаны основные статьи</w:t>
      </w:r>
      <w:r w:rsidR="002F7F7F" w:rsidRPr="002F7F7F">
        <w:t xml:space="preserve">) </w:t>
      </w:r>
      <w:r w:rsidRPr="002F7F7F">
        <w:t>хорошо поясняет, как она работает и в чем состоит главный предмет ее деятельности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3690"/>
      </w:tblGrid>
      <w:tr w:rsidR="00206DBE" w:rsidRPr="002F7F7F" w:rsidTr="004717CF">
        <w:trPr>
          <w:jc w:val="center"/>
        </w:trPr>
        <w:tc>
          <w:tcPr>
            <w:tcW w:w="3795" w:type="dxa"/>
          </w:tcPr>
          <w:p w:rsidR="00206DBE" w:rsidRPr="002F7F7F" w:rsidRDefault="00206DBE" w:rsidP="004717CF">
            <w:pPr>
              <w:pStyle w:val="af8"/>
            </w:pPr>
            <w:r w:rsidRPr="002F7F7F">
              <w:t>Размещение ресурсов</w:t>
            </w:r>
          </w:p>
        </w:tc>
        <w:tc>
          <w:tcPr>
            <w:tcW w:w="3690" w:type="dxa"/>
          </w:tcPr>
          <w:p w:rsidR="00206DBE" w:rsidRPr="002F7F7F" w:rsidRDefault="00206DBE" w:rsidP="004717CF">
            <w:pPr>
              <w:pStyle w:val="af8"/>
            </w:pPr>
            <w:r w:rsidRPr="002F7F7F">
              <w:t>Привлечение ресурсов</w:t>
            </w:r>
          </w:p>
        </w:tc>
      </w:tr>
      <w:tr w:rsidR="00206DBE" w:rsidRPr="002F7F7F" w:rsidTr="004717CF">
        <w:trPr>
          <w:jc w:val="center"/>
        </w:trPr>
        <w:tc>
          <w:tcPr>
            <w:tcW w:w="3795" w:type="dxa"/>
          </w:tcPr>
          <w:p w:rsidR="002F7F7F" w:rsidRDefault="00206DBE" w:rsidP="004717CF">
            <w:pPr>
              <w:pStyle w:val="af8"/>
            </w:pPr>
            <w:r w:rsidRPr="002F7F7F">
              <w:t>-Вложение средств в ценные бумаги, связанные с их первичным выпуском в обращение</w:t>
            </w:r>
          </w:p>
          <w:p w:rsidR="002F7F7F" w:rsidRDefault="00206DBE" w:rsidP="004717CF">
            <w:pPr>
              <w:pStyle w:val="af8"/>
            </w:pPr>
            <w:r w:rsidRPr="002F7F7F">
              <w:t>Прочие вложения в ценные бумаги (для поддержания их вторичного рынка</w:t>
            </w:r>
            <w:r w:rsidR="002F7F7F" w:rsidRPr="002F7F7F">
              <w:t xml:space="preserve">) </w:t>
            </w:r>
          </w:p>
          <w:p w:rsidR="00206DBE" w:rsidRPr="002F7F7F" w:rsidRDefault="00206DBE" w:rsidP="004717CF">
            <w:pPr>
              <w:pStyle w:val="af8"/>
            </w:pPr>
            <w:r w:rsidRPr="002F7F7F">
              <w:t>Банковские счета</w:t>
            </w:r>
          </w:p>
        </w:tc>
        <w:tc>
          <w:tcPr>
            <w:tcW w:w="3690" w:type="dxa"/>
          </w:tcPr>
          <w:p w:rsidR="00206DBE" w:rsidRPr="002F7F7F" w:rsidRDefault="00206DBE" w:rsidP="004717CF">
            <w:pPr>
              <w:pStyle w:val="af8"/>
            </w:pPr>
            <w:r w:rsidRPr="002F7F7F">
              <w:t>-Выпуск собственных ценных бумаг</w:t>
            </w:r>
            <w:r w:rsidR="002F7F7F" w:rsidRPr="002F7F7F">
              <w:t xml:space="preserve">: </w:t>
            </w:r>
          </w:p>
          <w:p w:rsidR="00206DBE" w:rsidRPr="002F7F7F" w:rsidRDefault="00206DBE" w:rsidP="004717CF">
            <w:pPr>
              <w:pStyle w:val="af8"/>
            </w:pPr>
            <w:r w:rsidRPr="002F7F7F">
              <w:t>а</w:t>
            </w:r>
            <w:r w:rsidR="002F7F7F" w:rsidRPr="002F7F7F">
              <w:t xml:space="preserve">) </w:t>
            </w:r>
            <w:r w:rsidRPr="002F7F7F">
              <w:t>акции для формирования акционерного капитала,</w:t>
            </w:r>
          </w:p>
          <w:p w:rsidR="002F7F7F" w:rsidRDefault="00206DBE" w:rsidP="004717CF">
            <w:pPr>
              <w:pStyle w:val="af8"/>
            </w:pPr>
            <w:r w:rsidRPr="002F7F7F">
              <w:t>б</w:t>
            </w:r>
            <w:r w:rsidR="002F7F7F" w:rsidRPr="002F7F7F">
              <w:t xml:space="preserve">) </w:t>
            </w:r>
            <w:r w:rsidRPr="002F7F7F">
              <w:t>облигации для формирования заемного капитала</w:t>
            </w:r>
            <w:r w:rsidR="002F7F7F" w:rsidRPr="002F7F7F">
              <w:t xml:space="preserve">. </w:t>
            </w:r>
          </w:p>
          <w:p w:rsidR="00206DBE" w:rsidRPr="002F7F7F" w:rsidRDefault="00206DBE" w:rsidP="004717CF">
            <w:pPr>
              <w:pStyle w:val="af8"/>
            </w:pPr>
            <w:r w:rsidRPr="002F7F7F">
              <w:t>Денежные ссуды банков и авансы по операциям с ценными бумагами</w:t>
            </w:r>
            <w:r w:rsidR="002F7F7F" w:rsidRPr="002F7F7F">
              <w:t xml:space="preserve">. </w:t>
            </w:r>
          </w:p>
        </w:tc>
      </w:tr>
    </w:tbl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Итак, основной предмет деятельности инвестиционной компании (в российском понимании</w:t>
      </w:r>
      <w:r w:rsidR="002F7F7F" w:rsidRPr="002F7F7F">
        <w:rPr>
          <w:color w:val="000000"/>
          <w:sz w:val="20"/>
          <w:szCs w:val="20"/>
        </w:rPr>
        <w:t xml:space="preserve">) - </w:t>
      </w:r>
      <w:r w:rsidRPr="002F7F7F">
        <w:rPr>
          <w:color w:val="000000"/>
          <w:sz w:val="20"/>
          <w:szCs w:val="20"/>
        </w:rPr>
        <w:t>определение условий и подготовка новых выпусков ценных бумаг, покупка их у эмитентов с тем, чтобы потом совершить перепродажу ценных бумаг инвесторам, гарантирование размещения, создание синдикатов по подписке или групп по продаже новых выпусков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Однако, так же, как и в западной практике, деятельность инвестиционной компании этим не может ограничиться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Инвесторы заинтересованы в поддержании активного вторичного рынка только что выпущенных ценных бумаг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Поэтому инвестиционная компания может оставить у себя часть выпуска для активной торговли ими на вторичном рынке в качестве "макетмэйкера" (инвестиционная компания также имеет право работать в качестве финансового брокера через торговую биржу</w:t>
      </w:r>
      <w:r w:rsidR="002F7F7F" w:rsidRPr="002F7F7F">
        <w:rPr>
          <w:color w:val="000000"/>
          <w:sz w:val="20"/>
          <w:szCs w:val="20"/>
        </w:rPr>
        <w:t xml:space="preserve">). 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При этом</w:t>
      </w:r>
      <w:r w:rsidR="002F7F7F" w:rsidRPr="002F7F7F">
        <w:rPr>
          <w:color w:val="000000"/>
          <w:sz w:val="20"/>
          <w:szCs w:val="20"/>
        </w:rPr>
        <w:t xml:space="preserve"> </w:t>
      </w:r>
      <w:r w:rsidRPr="002F7F7F">
        <w:rPr>
          <w:color w:val="000000"/>
          <w:sz w:val="20"/>
          <w:szCs w:val="20"/>
        </w:rPr>
        <w:t>операции с ценными бумагами должны быть исключительным видом деятельности российских инвестиционных компаний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6C54D8" w:rsidRPr="002F7F7F" w:rsidRDefault="006C54D8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Появление первых российских инвестиционных компаний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В России с середины 1991г</w:t>
      </w:r>
      <w:r w:rsidR="002F7F7F" w:rsidRPr="002F7F7F">
        <w:rPr>
          <w:color w:val="000000"/>
          <w:sz w:val="20"/>
          <w:szCs w:val="20"/>
        </w:rPr>
        <w:t xml:space="preserve">. - </w:t>
      </w:r>
      <w:r w:rsidRPr="002F7F7F">
        <w:rPr>
          <w:color w:val="000000"/>
          <w:sz w:val="20"/>
          <w:szCs w:val="20"/>
        </w:rPr>
        <w:t>1992г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действовали несколько крупных финансовых структур (ВПИК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>военно-промышленная инвестиционная компания, РИНАКО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>Российское инвестиционное акционерное общество, НИПЕК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 xml:space="preserve">Народная нефтяная инвестиционно-производственная евроазиатская корпорация и </w:t>
      </w:r>
      <w:r w:rsidR="002F7F7F">
        <w:rPr>
          <w:color w:val="000000"/>
          <w:sz w:val="20"/>
          <w:szCs w:val="20"/>
        </w:rPr>
        <w:t>др.)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В момент их образования они собрали значительные по тому времени денежные капиталы (0,8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>1,2 млрд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рублей</w:t>
      </w:r>
      <w:r w:rsidR="002F7F7F" w:rsidRPr="002F7F7F">
        <w:rPr>
          <w:color w:val="000000"/>
          <w:sz w:val="20"/>
          <w:szCs w:val="20"/>
        </w:rPr>
        <w:t>),</w:t>
      </w:r>
      <w:r w:rsidRPr="002F7F7F">
        <w:rPr>
          <w:color w:val="000000"/>
          <w:sz w:val="20"/>
          <w:szCs w:val="20"/>
        </w:rPr>
        <w:t xml:space="preserve"> которые в высокоинфляционной обстановке 1992г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(инфляция 2500-2600% в год</w:t>
      </w:r>
      <w:r w:rsidR="002F7F7F" w:rsidRPr="002F7F7F">
        <w:rPr>
          <w:color w:val="000000"/>
          <w:sz w:val="20"/>
          <w:szCs w:val="20"/>
        </w:rPr>
        <w:t>),</w:t>
      </w:r>
      <w:r w:rsidRPr="002F7F7F">
        <w:rPr>
          <w:color w:val="000000"/>
          <w:sz w:val="20"/>
          <w:szCs w:val="20"/>
        </w:rPr>
        <w:t xml:space="preserve"> при задержке до конца года масштабной приватизации и глубоком кризисе в этот период российского рынка ценных бумаг превратились в быстро обесценивающуюся (за год в 25-26 раз</w:t>
      </w:r>
      <w:r w:rsidR="002F7F7F" w:rsidRPr="002F7F7F">
        <w:rPr>
          <w:color w:val="000000"/>
          <w:sz w:val="20"/>
          <w:szCs w:val="20"/>
        </w:rPr>
        <w:t xml:space="preserve">) </w:t>
      </w:r>
      <w:r w:rsidRPr="002F7F7F">
        <w:rPr>
          <w:color w:val="000000"/>
          <w:sz w:val="20"/>
          <w:szCs w:val="20"/>
        </w:rPr>
        <w:t>бумажноденежную массу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Структура активов и операций инвестиционных компаний полностью не соответствовали требованиям к этим финансовым институтам, предъявляемым российским законодательством, как к участникам рынка ценных бумаг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 xml:space="preserve">Дело в том, что и по первоначальному замыслу, и по инфляционной необходимости эти компании должны были вкладывать свои деньги не только в ценные бумаги, сколько осуществлять прямые денежные вложения в недвижимость, в капиталы действующих предприятий, </w:t>
      </w:r>
      <w:r w:rsidR="001B1927" w:rsidRPr="002F7F7F">
        <w:rPr>
          <w:color w:val="000000"/>
          <w:sz w:val="20"/>
          <w:szCs w:val="20"/>
        </w:rPr>
        <w:t>и</w:t>
      </w:r>
      <w:r w:rsidRPr="002F7F7F">
        <w:rPr>
          <w:color w:val="000000"/>
          <w:sz w:val="20"/>
          <w:szCs w:val="20"/>
        </w:rPr>
        <w:t xml:space="preserve"> в большей степени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>в краткосрочные коммерческие проекты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Даже такая стратегия не привела к ощутимым результатам</w:t>
      </w:r>
      <w:r w:rsidR="002F7F7F" w:rsidRPr="002F7F7F">
        <w:rPr>
          <w:color w:val="000000"/>
          <w:sz w:val="20"/>
          <w:szCs w:val="20"/>
        </w:rPr>
        <w:t xml:space="preserve">: </w:t>
      </w:r>
      <w:r w:rsidRPr="002F7F7F">
        <w:rPr>
          <w:color w:val="000000"/>
          <w:sz w:val="20"/>
          <w:szCs w:val="20"/>
        </w:rPr>
        <w:t>по итогам 1992г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НИПЕК и РИНАКО не выплатили дивиденды, капитализировав их (возможный уровень не превышал 50-100% при темпах инфляции в 1992г</w:t>
      </w:r>
      <w:r w:rsidR="002F7F7F">
        <w:rPr>
          <w:color w:val="000000"/>
          <w:sz w:val="20"/>
          <w:szCs w:val="20"/>
        </w:rPr>
        <w:t>.2</w:t>
      </w:r>
      <w:r w:rsidRPr="002F7F7F">
        <w:rPr>
          <w:color w:val="000000"/>
          <w:sz w:val="20"/>
          <w:szCs w:val="20"/>
        </w:rPr>
        <w:t>500-2600%</w:t>
      </w:r>
      <w:r w:rsidR="002F7F7F" w:rsidRPr="002F7F7F">
        <w:rPr>
          <w:color w:val="000000"/>
          <w:sz w:val="20"/>
          <w:szCs w:val="20"/>
        </w:rPr>
        <w:t>),</w:t>
      </w:r>
      <w:r w:rsidRPr="002F7F7F">
        <w:rPr>
          <w:color w:val="000000"/>
          <w:sz w:val="20"/>
          <w:szCs w:val="20"/>
        </w:rPr>
        <w:t xml:space="preserve"> платежи ВПИК по дивидендам составили для различных категорий акционеров 8-55%</w:t>
      </w:r>
      <w:r w:rsidR="002F7F7F">
        <w:rPr>
          <w:color w:val="000000"/>
          <w:sz w:val="20"/>
          <w:szCs w:val="20"/>
        </w:rPr>
        <w:t>.1</w:t>
      </w:r>
      <w:r w:rsidRPr="002F7F7F">
        <w:rPr>
          <w:color w:val="000000"/>
          <w:sz w:val="20"/>
          <w:szCs w:val="20"/>
        </w:rPr>
        <w:t>0-30% капиталов инвестиционные компании в 1992г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вложили в совместные предприятия, 20-50%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 xml:space="preserve">было пущено в торговые операции, определенная часть была инвестирована в недвижимость, предметы искусства и </w:t>
      </w:r>
      <w:r w:rsidR="002F7F7F">
        <w:rPr>
          <w:color w:val="000000"/>
          <w:sz w:val="20"/>
          <w:szCs w:val="20"/>
        </w:rPr>
        <w:t>т.п.</w:t>
      </w:r>
      <w:r w:rsidR="002F7F7F" w:rsidRPr="002F7F7F">
        <w:rPr>
          <w:color w:val="000000"/>
          <w:sz w:val="20"/>
          <w:szCs w:val="20"/>
        </w:rPr>
        <w:t xml:space="preserve"> </w:t>
      </w:r>
    </w:p>
    <w:p w:rsidR="001B1927" w:rsidRPr="002F7F7F" w:rsidRDefault="001B1927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 xml:space="preserve">Таким образом, </w:t>
      </w:r>
      <w:r w:rsidR="00206DBE" w:rsidRPr="002F7F7F">
        <w:rPr>
          <w:color w:val="000000"/>
          <w:sz w:val="20"/>
          <w:szCs w:val="20"/>
        </w:rPr>
        <w:t xml:space="preserve">первые структуры, назвавшие себя инвестиционными компаниями в качестве действующих на российском рынке, не являлись по характеру деятельности профессиональными участниками рынка ценных бумаг и не соответствовали правовым условиям, установленных для них </w:t>
      </w:r>
      <w:r w:rsidRPr="002F7F7F">
        <w:rPr>
          <w:color w:val="000000"/>
          <w:sz w:val="20"/>
          <w:szCs w:val="20"/>
        </w:rPr>
        <w:t>российским законодательством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206DBE" w:rsidRPr="002F7F7F" w:rsidRDefault="00206DBE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С другой стороны, начиная с 1993г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на российском рынке быстро росла группа профессиональных финансовых посредников, получивших лицензии на деятельность в качестве инвестиционных компаний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К концу 1994г</w:t>
      </w:r>
      <w:r w:rsidR="002F7F7F">
        <w:rPr>
          <w:color w:val="000000"/>
          <w:sz w:val="20"/>
          <w:szCs w:val="20"/>
        </w:rPr>
        <w:t>.9</w:t>
      </w:r>
      <w:r w:rsidRPr="002F7F7F">
        <w:rPr>
          <w:color w:val="000000"/>
          <w:sz w:val="20"/>
          <w:szCs w:val="20"/>
        </w:rPr>
        <w:t>4% профессиональных участников фондового рынка имели такие лицензии (абсолютное большинство из них были совмещены с лицензиями финансового брокера и инвестиционного консультанта, примерно 4%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>были чисто инвестиционными компаниями</w:t>
      </w:r>
      <w:r w:rsidR="002F7F7F" w:rsidRPr="002F7F7F">
        <w:rPr>
          <w:color w:val="000000"/>
          <w:sz w:val="20"/>
          <w:szCs w:val="20"/>
        </w:rPr>
        <w:t xml:space="preserve">). </w:t>
      </w:r>
    </w:p>
    <w:p w:rsidR="001B1927" w:rsidRPr="002F7F7F" w:rsidRDefault="001B1927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Особенности работы инвестиционной компании в сравнении с другими инвестиционными институтами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В отечественной практике выбрана модель одновременного участия банков, брокерских компаний, инвестиционных компаний и фондов в профессиональной деятельности на рынке ценных бумаг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При этом банки по своим правам, финансовой базе (размеры капитала, диверсификация активов и операций с ними</w:t>
      </w:r>
      <w:r w:rsidR="002F7F7F" w:rsidRPr="002F7F7F">
        <w:rPr>
          <w:color w:val="000000"/>
          <w:sz w:val="20"/>
          <w:szCs w:val="20"/>
        </w:rPr>
        <w:t>),</w:t>
      </w:r>
      <w:r w:rsidRPr="002F7F7F">
        <w:rPr>
          <w:color w:val="000000"/>
          <w:sz w:val="20"/>
          <w:szCs w:val="20"/>
        </w:rPr>
        <w:t xml:space="preserve"> кадровому составу и материальному обеспечению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>совершенно уникальный участник данного рынка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В то же время операции с ценными бумагами не являются основными для банков и они в значительной мере теряют преимущества специализации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Поскольку банки и инвестиционные компании выполняют однотипные операции на рынке ценных бумаг, постольку между ними должно развернуться соперничество за доли этого рынка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Банки в этой конкуренции имеют преимущества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На их стороне такие факторы, как</w:t>
      </w:r>
      <w:r w:rsidR="002F7F7F" w:rsidRPr="002F7F7F">
        <w:rPr>
          <w:color w:val="000000"/>
          <w:sz w:val="20"/>
          <w:szCs w:val="20"/>
        </w:rPr>
        <w:t xml:space="preserve">: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а</w:t>
      </w:r>
      <w:r w:rsidR="002F7F7F" w:rsidRPr="002F7F7F">
        <w:rPr>
          <w:color w:val="000000"/>
          <w:sz w:val="20"/>
          <w:szCs w:val="20"/>
        </w:rPr>
        <w:t xml:space="preserve">) </w:t>
      </w:r>
      <w:r w:rsidRPr="002F7F7F">
        <w:rPr>
          <w:color w:val="000000"/>
          <w:sz w:val="20"/>
          <w:szCs w:val="20"/>
        </w:rPr>
        <w:t>большая финансовая надежность и устойчивость, диверсифицированность деятельности (операции с ценными бумагами не являются исключительными</w:t>
      </w:r>
      <w:r w:rsidR="002F7F7F" w:rsidRPr="002F7F7F">
        <w:rPr>
          <w:color w:val="000000"/>
          <w:sz w:val="20"/>
          <w:szCs w:val="20"/>
        </w:rPr>
        <w:t xml:space="preserve">);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б</w:t>
      </w:r>
      <w:r w:rsidR="002F7F7F" w:rsidRPr="002F7F7F">
        <w:rPr>
          <w:color w:val="000000"/>
          <w:sz w:val="20"/>
          <w:szCs w:val="20"/>
        </w:rPr>
        <w:t xml:space="preserve">) </w:t>
      </w:r>
      <w:r w:rsidRPr="002F7F7F">
        <w:rPr>
          <w:color w:val="000000"/>
          <w:sz w:val="20"/>
          <w:szCs w:val="20"/>
        </w:rPr>
        <w:t>большие возможности в гарантировании размещения ценных бумаг</w:t>
      </w:r>
      <w:r w:rsidR="002F7F7F" w:rsidRPr="002F7F7F">
        <w:rPr>
          <w:color w:val="000000"/>
          <w:sz w:val="20"/>
          <w:szCs w:val="20"/>
        </w:rPr>
        <w:t xml:space="preserve">;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в</w:t>
      </w:r>
      <w:r w:rsidR="002F7F7F" w:rsidRPr="002F7F7F">
        <w:rPr>
          <w:color w:val="000000"/>
          <w:sz w:val="20"/>
          <w:szCs w:val="20"/>
        </w:rPr>
        <w:t xml:space="preserve">) </w:t>
      </w:r>
      <w:r w:rsidRPr="002F7F7F">
        <w:rPr>
          <w:color w:val="000000"/>
          <w:sz w:val="20"/>
          <w:szCs w:val="20"/>
        </w:rPr>
        <w:t>комплексное расчетно-кассовое обслуживание по операциям с ценными бумагами и другим операциям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2F7F7F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Появление инвестиционных компаний со значительными уставными капиталами, введение с начала 1994г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ограничений на банковские операции с ценными бумагами, могут в большой степени ослабили указанные преимущества банков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Андеррайтинг</w:t>
      </w:r>
      <w:r w:rsidR="002F7F7F" w:rsidRPr="002F7F7F">
        <w:rPr>
          <w:color w:val="000000"/>
          <w:sz w:val="20"/>
          <w:szCs w:val="20"/>
        </w:rPr>
        <w:t xml:space="preserve"> - </w:t>
      </w:r>
      <w:r w:rsidRPr="002F7F7F">
        <w:rPr>
          <w:color w:val="000000"/>
          <w:sz w:val="20"/>
          <w:szCs w:val="20"/>
        </w:rPr>
        <w:t>базовая функция инвестиционной компании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Андеррайтинг (в значении, принятом на фондовом рынке</w:t>
      </w:r>
      <w:r w:rsidR="002F7F7F" w:rsidRPr="002F7F7F">
        <w:rPr>
          <w:color w:val="000000"/>
          <w:sz w:val="20"/>
          <w:szCs w:val="20"/>
        </w:rPr>
        <w:t xml:space="preserve">) - </w:t>
      </w:r>
      <w:r w:rsidRPr="002F7F7F">
        <w:rPr>
          <w:color w:val="000000"/>
          <w:sz w:val="20"/>
          <w:szCs w:val="20"/>
        </w:rPr>
        <w:t>это покупка или гарантирование покупки ценных бумаг при их первичном размещении для продажи публике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Андеррайтер (в значении, принятом на фондовом рынке</w:t>
      </w:r>
      <w:r w:rsidR="002F7F7F" w:rsidRPr="002F7F7F">
        <w:rPr>
          <w:color w:val="000000"/>
          <w:sz w:val="20"/>
          <w:szCs w:val="20"/>
        </w:rPr>
        <w:t xml:space="preserve">) - </w:t>
      </w:r>
      <w:r w:rsidRPr="002F7F7F">
        <w:rPr>
          <w:color w:val="000000"/>
          <w:sz w:val="20"/>
          <w:szCs w:val="20"/>
        </w:rPr>
        <w:t>инвестиционный институт или их группа, обслуживающая и гарантирующая первичное размещение ценных бумаг, осуществляющая их покупку для последующей перепродажи частным инвесторам</w:t>
      </w:r>
      <w:r w:rsidR="002F7F7F" w:rsidRPr="002F7F7F">
        <w:rPr>
          <w:color w:val="000000"/>
          <w:sz w:val="20"/>
          <w:szCs w:val="20"/>
        </w:rPr>
        <w:t xml:space="preserve">. </w:t>
      </w:r>
      <w:r w:rsidRPr="002F7F7F">
        <w:rPr>
          <w:color w:val="000000"/>
          <w:sz w:val="20"/>
          <w:szCs w:val="20"/>
        </w:rPr>
        <w:t>В этом качестве он принимает на себя риски, связанные с неразмещением ценных бумаг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Таким образом, андеррайтинг ценных бумаг (термин, принятый повсеместно в международной практике</w:t>
      </w:r>
      <w:r w:rsidR="002F7F7F" w:rsidRPr="002F7F7F">
        <w:rPr>
          <w:color w:val="000000"/>
          <w:sz w:val="20"/>
          <w:szCs w:val="20"/>
        </w:rPr>
        <w:t xml:space="preserve">) - </w:t>
      </w:r>
      <w:r w:rsidRPr="002F7F7F">
        <w:rPr>
          <w:color w:val="000000"/>
          <w:sz w:val="20"/>
          <w:szCs w:val="20"/>
        </w:rPr>
        <w:t>является основной задачей, основной функцией инвестиционной компании, как это определено российскими законодательными актами</w:t>
      </w:r>
      <w:r w:rsidR="002F7F7F" w:rsidRPr="002F7F7F">
        <w:rPr>
          <w:color w:val="000000"/>
          <w:sz w:val="20"/>
          <w:szCs w:val="20"/>
        </w:rPr>
        <w:t xml:space="preserve">. </w:t>
      </w:r>
    </w:p>
    <w:p w:rsidR="00A13421" w:rsidRPr="002F7F7F" w:rsidRDefault="00A13421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F7F7F">
        <w:rPr>
          <w:color w:val="000000"/>
          <w:sz w:val="20"/>
          <w:szCs w:val="20"/>
        </w:rPr>
        <w:t>Функции инвестиционной компании, как андеррайтера, повсеместно принятые в международной практике, отражены в следующей схеме</w:t>
      </w:r>
      <w:r w:rsidR="002F7F7F" w:rsidRPr="002F7F7F">
        <w:rPr>
          <w:color w:val="000000"/>
          <w:sz w:val="20"/>
          <w:szCs w:val="20"/>
        </w:rPr>
        <w:t xml:space="preserve">: </w:t>
      </w:r>
    </w:p>
    <w:p w:rsidR="006C54D8" w:rsidRPr="002F7F7F" w:rsidRDefault="006C54D8" w:rsidP="002F7F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7"/>
        <w:gridCol w:w="2340"/>
        <w:gridCol w:w="1800"/>
        <w:gridCol w:w="1980"/>
      </w:tblGrid>
      <w:tr w:rsidR="00A13421" w:rsidRPr="002F7F7F" w:rsidTr="004717CF">
        <w:trPr>
          <w:jc w:val="center"/>
        </w:trPr>
        <w:tc>
          <w:tcPr>
            <w:tcW w:w="2727" w:type="dxa"/>
          </w:tcPr>
          <w:p w:rsidR="00A13421" w:rsidRPr="002F7F7F" w:rsidRDefault="00A13421" w:rsidP="004717CF">
            <w:pPr>
              <w:pStyle w:val="af8"/>
            </w:pPr>
            <w:r w:rsidRPr="002F7F7F">
              <w:t>Подготовка эмиссии</w:t>
            </w:r>
          </w:p>
        </w:tc>
        <w:tc>
          <w:tcPr>
            <w:tcW w:w="2340" w:type="dxa"/>
          </w:tcPr>
          <w:p w:rsidR="00A13421" w:rsidRPr="002F7F7F" w:rsidRDefault="00A13421" w:rsidP="004717CF">
            <w:pPr>
              <w:pStyle w:val="af8"/>
            </w:pPr>
            <w:r w:rsidRPr="002F7F7F">
              <w:t>Распределение</w:t>
            </w:r>
          </w:p>
        </w:tc>
        <w:tc>
          <w:tcPr>
            <w:tcW w:w="1800" w:type="dxa"/>
          </w:tcPr>
          <w:p w:rsidR="00A13421" w:rsidRPr="002F7F7F" w:rsidRDefault="00A13421" w:rsidP="004717CF">
            <w:pPr>
              <w:pStyle w:val="af8"/>
            </w:pPr>
            <w:r w:rsidRPr="002F7F7F">
              <w:t>Послерыночная поддержка</w:t>
            </w:r>
          </w:p>
        </w:tc>
        <w:tc>
          <w:tcPr>
            <w:tcW w:w="1980" w:type="dxa"/>
          </w:tcPr>
          <w:p w:rsidR="00A13421" w:rsidRPr="002F7F7F" w:rsidRDefault="00A13421" w:rsidP="004717CF">
            <w:pPr>
              <w:pStyle w:val="af8"/>
            </w:pPr>
            <w:r w:rsidRPr="002F7F7F">
              <w:t>Аналитическая и исследовательская поддержка</w:t>
            </w:r>
          </w:p>
        </w:tc>
      </w:tr>
      <w:tr w:rsidR="00A13421" w:rsidRPr="002F7F7F" w:rsidTr="004717CF">
        <w:trPr>
          <w:trHeight w:val="1100"/>
          <w:jc w:val="center"/>
        </w:trPr>
        <w:tc>
          <w:tcPr>
            <w:tcW w:w="2727" w:type="dxa"/>
          </w:tcPr>
          <w:p w:rsidR="00A13421" w:rsidRPr="002F7F7F" w:rsidRDefault="00A13421" w:rsidP="004717CF">
            <w:pPr>
              <w:pStyle w:val="af8"/>
            </w:pPr>
            <w:r w:rsidRPr="002F7F7F">
              <w:t>содействие в реорганизации компаний</w:t>
            </w:r>
          </w:p>
        </w:tc>
        <w:tc>
          <w:tcPr>
            <w:tcW w:w="2340" w:type="dxa"/>
          </w:tcPr>
          <w:p w:rsidR="00A13421" w:rsidRPr="002F7F7F" w:rsidRDefault="00A13421" w:rsidP="004717CF">
            <w:pPr>
              <w:pStyle w:val="af8"/>
            </w:pPr>
            <w:r w:rsidRPr="002F7F7F">
              <w:t>выкуп части или всей суммы эмиссии</w:t>
            </w:r>
          </w:p>
        </w:tc>
        <w:tc>
          <w:tcPr>
            <w:tcW w:w="1800" w:type="dxa"/>
          </w:tcPr>
          <w:p w:rsidR="00A13421" w:rsidRPr="002F7F7F" w:rsidRDefault="00A13421" w:rsidP="004717CF">
            <w:pPr>
              <w:pStyle w:val="af8"/>
            </w:pPr>
            <w:r w:rsidRPr="002F7F7F">
              <w:t>поддержка курса ценной бумаги на вторичном рынке (обычно в течение года</w:t>
            </w:r>
            <w:r w:rsidR="002F7F7F" w:rsidRPr="002F7F7F">
              <w:t xml:space="preserve">) </w:t>
            </w:r>
          </w:p>
        </w:tc>
        <w:tc>
          <w:tcPr>
            <w:tcW w:w="1980" w:type="dxa"/>
          </w:tcPr>
          <w:p w:rsidR="00A13421" w:rsidRPr="002F7F7F" w:rsidRDefault="00A13421" w:rsidP="004717CF">
            <w:pPr>
              <w:pStyle w:val="af8"/>
            </w:pPr>
            <w:r w:rsidRPr="002F7F7F">
              <w:t>контроль динамики курса ценной бумаги и факторов, на него влияющих</w:t>
            </w:r>
          </w:p>
        </w:tc>
      </w:tr>
      <w:tr w:rsidR="00A13421" w:rsidRPr="002F7F7F" w:rsidTr="004717CF">
        <w:trPr>
          <w:jc w:val="center"/>
        </w:trPr>
        <w:tc>
          <w:tcPr>
            <w:tcW w:w="2727" w:type="dxa"/>
          </w:tcPr>
          <w:p w:rsidR="00A13421" w:rsidRPr="002F7F7F" w:rsidRDefault="00A13421" w:rsidP="004717CF">
            <w:pPr>
              <w:pStyle w:val="af8"/>
            </w:pPr>
            <w:r w:rsidRPr="002F7F7F">
              <w:t>конструирование эмиссий совместно с эмитентом, юридическими фирмами, инвестиционными консультантами</w:t>
            </w:r>
          </w:p>
        </w:tc>
        <w:tc>
          <w:tcPr>
            <w:tcW w:w="2340" w:type="dxa"/>
          </w:tcPr>
          <w:p w:rsidR="00A13421" w:rsidRPr="002F7F7F" w:rsidRDefault="00A13421" w:rsidP="004717CF">
            <w:pPr>
              <w:pStyle w:val="af8"/>
            </w:pPr>
            <w:r w:rsidRPr="002F7F7F">
              <w:t>прямое распределение эмиссии (продажа непосредственно инвесторам</w:t>
            </w:r>
            <w:r w:rsidR="002F7F7F" w:rsidRPr="002F7F7F">
              <w:t xml:space="preserve">) </w:t>
            </w:r>
          </w:p>
        </w:tc>
        <w:tc>
          <w:tcPr>
            <w:tcW w:w="1800" w:type="dxa"/>
          </w:tcPr>
          <w:p w:rsidR="00A13421" w:rsidRPr="002F7F7F" w:rsidRDefault="00A13421" w:rsidP="004717CF">
            <w:pPr>
              <w:pStyle w:val="af8"/>
            </w:pPr>
          </w:p>
        </w:tc>
        <w:tc>
          <w:tcPr>
            <w:tcW w:w="1980" w:type="dxa"/>
          </w:tcPr>
          <w:p w:rsidR="00A13421" w:rsidRPr="002F7F7F" w:rsidRDefault="00A13421" w:rsidP="004717CF">
            <w:pPr>
              <w:pStyle w:val="af8"/>
            </w:pPr>
          </w:p>
        </w:tc>
      </w:tr>
      <w:tr w:rsidR="00A13421" w:rsidRPr="002F7F7F" w:rsidTr="004717CF">
        <w:trPr>
          <w:jc w:val="center"/>
        </w:trPr>
        <w:tc>
          <w:tcPr>
            <w:tcW w:w="2727" w:type="dxa"/>
          </w:tcPr>
          <w:p w:rsidR="00A13421" w:rsidRPr="002F7F7F" w:rsidRDefault="00A13421" w:rsidP="004717CF">
            <w:pPr>
              <w:pStyle w:val="af8"/>
            </w:pPr>
            <w:r w:rsidRPr="002F7F7F">
              <w:t>оценивание эмитента</w:t>
            </w:r>
          </w:p>
        </w:tc>
        <w:tc>
          <w:tcPr>
            <w:tcW w:w="2340" w:type="dxa"/>
          </w:tcPr>
          <w:p w:rsidR="00A13421" w:rsidRPr="002F7F7F" w:rsidRDefault="00A13421" w:rsidP="004717CF">
            <w:pPr>
              <w:pStyle w:val="af8"/>
            </w:pPr>
            <w:r w:rsidRPr="002F7F7F">
              <w:t>продажа через эмиссионный синдикат</w:t>
            </w:r>
          </w:p>
        </w:tc>
        <w:tc>
          <w:tcPr>
            <w:tcW w:w="1800" w:type="dxa"/>
          </w:tcPr>
          <w:p w:rsidR="00A13421" w:rsidRPr="002F7F7F" w:rsidRDefault="00A13421" w:rsidP="004717CF">
            <w:pPr>
              <w:pStyle w:val="af8"/>
            </w:pPr>
          </w:p>
        </w:tc>
        <w:tc>
          <w:tcPr>
            <w:tcW w:w="1980" w:type="dxa"/>
          </w:tcPr>
          <w:p w:rsidR="00A13421" w:rsidRPr="002F7F7F" w:rsidRDefault="00A13421" w:rsidP="004717CF">
            <w:pPr>
              <w:pStyle w:val="af8"/>
            </w:pPr>
          </w:p>
        </w:tc>
      </w:tr>
      <w:tr w:rsidR="00A13421" w:rsidRPr="002F7F7F" w:rsidTr="004717CF">
        <w:trPr>
          <w:jc w:val="center"/>
        </w:trPr>
        <w:tc>
          <w:tcPr>
            <w:tcW w:w="2727" w:type="dxa"/>
          </w:tcPr>
          <w:p w:rsidR="00A13421" w:rsidRPr="002F7F7F" w:rsidRDefault="00A13421" w:rsidP="004717CF">
            <w:pPr>
              <w:pStyle w:val="af8"/>
            </w:pPr>
            <w:r w:rsidRPr="002F7F7F">
              <w:t>оценивание эмитируемых ценных бумаг</w:t>
            </w:r>
          </w:p>
        </w:tc>
        <w:tc>
          <w:tcPr>
            <w:tcW w:w="2340" w:type="dxa"/>
          </w:tcPr>
          <w:p w:rsidR="00A13421" w:rsidRPr="002F7F7F" w:rsidRDefault="00A13421" w:rsidP="004717CF">
            <w:pPr>
              <w:pStyle w:val="af8"/>
            </w:pPr>
            <w:r w:rsidRPr="002F7F7F">
              <w:t>гарантирование рисков</w:t>
            </w:r>
          </w:p>
        </w:tc>
        <w:tc>
          <w:tcPr>
            <w:tcW w:w="1800" w:type="dxa"/>
          </w:tcPr>
          <w:p w:rsidR="00A13421" w:rsidRPr="002F7F7F" w:rsidRDefault="00A13421" w:rsidP="004717CF">
            <w:pPr>
              <w:pStyle w:val="af8"/>
            </w:pPr>
          </w:p>
        </w:tc>
        <w:tc>
          <w:tcPr>
            <w:tcW w:w="1980" w:type="dxa"/>
          </w:tcPr>
          <w:p w:rsidR="00A13421" w:rsidRPr="002F7F7F" w:rsidRDefault="00A13421" w:rsidP="004717CF">
            <w:pPr>
              <w:pStyle w:val="af8"/>
            </w:pPr>
          </w:p>
        </w:tc>
      </w:tr>
      <w:tr w:rsidR="00A13421" w:rsidRPr="002F7F7F" w:rsidTr="004717CF">
        <w:trPr>
          <w:jc w:val="center"/>
        </w:trPr>
        <w:tc>
          <w:tcPr>
            <w:tcW w:w="2727" w:type="dxa"/>
          </w:tcPr>
          <w:p w:rsidR="00A13421" w:rsidRPr="002F7F7F" w:rsidRDefault="00A13421" w:rsidP="004717CF">
            <w:pPr>
              <w:pStyle w:val="af8"/>
            </w:pPr>
            <w:r w:rsidRPr="002F7F7F">
              <w:t>установление связей между эмитентом и ключевыми инвесторами, членами синдиката по распространению ценных бумаг</w:t>
            </w:r>
          </w:p>
        </w:tc>
        <w:tc>
          <w:tcPr>
            <w:tcW w:w="2340" w:type="dxa"/>
          </w:tcPr>
          <w:p w:rsidR="00A13421" w:rsidRPr="002F7F7F" w:rsidRDefault="00A13421" w:rsidP="004717CF">
            <w:pPr>
              <w:pStyle w:val="af8"/>
            </w:pPr>
            <w:r w:rsidRPr="002F7F7F">
              <w:t>поддержка курса ценной бумаги на вторичном рынке в период первичного размещения</w:t>
            </w:r>
          </w:p>
        </w:tc>
        <w:tc>
          <w:tcPr>
            <w:tcW w:w="1800" w:type="dxa"/>
          </w:tcPr>
          <w:p w:rsidR="00A13421" w:rsidRPr="002F7F7F" w:rsidRDefault="00A13421" w:rsidP="004717CF">
            <w:pPr>
              <w:pStyle w:val="af8"/>
            </w:pPr>
          </w:p>
        </w:tc>
        <w:tc>
          <w:tcPr>
            <w:tcW w:w="1980" w:type="dxa"/>
          </w:tcPr>
          <w:p w:rsidR="00A13421" w:rsidRPr="002F7F7F" w:rsidRDefault="00A13421" w:rsidP="004717CF">
            <w:pPr>
              <w:pStyle w:val="af8"/>
            </w:pPr>
          </w:p>
        </w:tc>
      </w:tr>
    </w:tbl>
    <w:p w:rsidR="002A5F8F" w:rsidRPr="002F7F7F" w:rsidRDefault="002A5F8F" w:rsidP="002F7F7F">
      <w:pPr>
        <w:widowControl w:val="0"/>
        <w:autoSpaceDE w:val="0"/>
        <w:autoSpaceDN w:val="0"/>
        <w:adjustRightInd w:val="0"/>
        <w:rPr>
          <w:color w:val="000000"/>
        </w:rPr>
      </w:pPr>
    </w:p>
    <w:p w:rsidR="000C4E40" w:rsidRPr="002F7F7F" w:rsidRDefault="004717CF" w:rsidP="004717CF">
      <w:pPr>
        <w:pStyle w:val="2"/>
      </w:pPr>
      <w:r>
        <w:br w:type="page"/>
      </w:r>
      <w:r w:rsidR="000C4E40" w:rsidRPr="002F7F7F">
        <w:t>ИНВЕСТИЦИОННЫЕ КОМПАНИИ НА РОССИЙСКОМ РЫНКЕ ЦЕННЫХ БУМАГ</w:t>
      </w:r>
    </w:p>
    <w:p w:rsidR="004717CF" w:rsidRDefault="004717CF" w:rsidP="002F7F7F">
      <w:pPr>
        <w:widowControl w:val="0"/>
        <w:autoSpaceDE w:val="0"/>
        <w:autoSpaceDN w:val="0"/>
        <w:adjustRightInd w:val="0"/>
        <w:rPr>
          <w:lang w:val="uk-UA"/>
        </w:rPr>
      </w:pPr>
    </w:p>
    <w:p w:rsidR="00A13421" w:rsidRPr="002F7F7F" w:rsidRDefault="00A13421" w:rsidP="004717CF">
      <w:pPr>
        <w:pStyle w:val="2"/>
      </w:pPr>
      <w:r w:rsidRPr="002F7F7F">
        <w:t>Крупнейшие рос</w:t>
      </w:r>
      <w:r w:rsidR="006C54D8" w:rsidRPr="002F7F7F">
        <w:t>сийские инвестиционные компании</w:t>
      </w:r>
    </w:p>
    <w:p w:rsidR="004717CF" w:rsidRDefault="004717CF" w:rsidP="002F7F7F">
      <w:pPr>
        <w:widowControl w:val="0"/>
        <w:autoSpaceDE w:val="0"/>
        <w:autoSpaceDN w:val="0"/>
        <w:adjustRightInd w:val="0"/>
        <w:rPr>
          <w:lang w:val="uk-UA"/>
        </w:rPr>
      </w:pPr>
    </w:p>
    <w:p w:rsidR="00A13421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КИТ Финанс</w:t>
      </w:r>
      <w:r w:rsidR="002F7F7F" w:rsidRPr="002F7F7F">
        <w:t xml:space="preserve"> - </w:t>
      </w:r>
      <w:r w:rsidRPr="002F7F7F">
        <w:t>независимый российский инвестиционный банк, предоставляющий инвестиционно-банковские и финансовые услуги компаниям, финансовым институтам и частным инвесторам</w:t>
      </w:r>
      <w:r w:rsidR="002F7F7F" w:rsidRPr="002F7F7F">
        <w:t xml:space="preserve">.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КИТ Финанс является одним из лидеров на рынке организации, размещения и обращения облигационных займов, выступая в качестве ведущего организатора, андеррайтера и маркет-мейкера, платежного агента, юридического и инвестиционного консультанта</w:t>
      </w:r>
      <w:r w:rsidR="002F7F7F" w:rsidRPr="002F7F7F">
        <w:t xml:space="preserve">. </w:t>
      </w:r>
      <w:r w:rsidRPr="002F7F7F">
        <w:t>КИТ Финанс является организатором субфедеральных, муниципальных и корпоративных рублевых облигационных займов, а также выпусков валютных долговых инструментов</w:t>
      </w:r>
      <w:r w:rsidR="002F7F7F" w:rsidRPr="002F7F7F">
        <w:t xml:space="preserve">.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Брокерский бизнес КИТ Финанс представлен компанией КИТ Финанс (ООО</w:t>
      </w:r>
      <w:r w:rsidR="002F7F7F" w:rsidRPr="002F7F7F">
        <w:t>),</w:t>
      </w:r>
      <w:r w:rsidRPr="002F7F7F">
        <w:t xml:space="preserve"> которая проводит операции на рынке ценных бумаг в интересах компаний Группы, профессиональных участников и индивидуальных инвесторов</w:t>
      </w:r>
      <w:r w:rsidR="002F7F7F" w:rsidRPr="002F7F7F">
        <w:t xml:space="preserve">. </w:t>
      </w:r>
      <w:r w:rsidRPr="002F7F7F">
        <w:t>КИТ Финанс ориентирован на работу с финансовыми институтами, аккредитован на всех основных торговых площадках и работает со всеми биржевыми инструментами</w:t>
      </w:r>
      <w:r w:rsidR="002F7F7F" w:rsidRPr="002F7F7F">
        <w:t xml:space="preserve">. </w:t>
      </w:r>
      <w:r w:rsidRPr="002F7F7F">
        <w:t>На данный момент КИТ Финанс является одним из крупнейших брокеров России</w:t>
      </w:r>
      <w:r w:rsidR="002F7F7F" w:rsidRPr="002F7F7F">
        <w:t xml:space="preserve">.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КИТ Финанс имеет многолетний опыт управления активами, которое осуществляет управляющая компания КИТ Финанс (ОАО</w:t>
      </w:r>
      <w:r w:rsidR="002F7F7F" w:rsidRPr="002F7F7F">
        <w:t xml:space="preserve">). </w:t>
      </w:r>
      <w:r w:rsidRPr="002F7F7F">
        <w:t>КИТ Финанс оказывает услуги в области инвестиций и стратегического развития российских и иностранных корпораций, финансово-промышленных групп и правительственных органов</w:t>
      </w:r>
      <w:r w:rsidR="002F7F7F" w:rsidRPr="002F7F7F">
        <w:t xml:space="preserve">. </w:t>
      </w:r>
      <w:r w:rsidRPr="002F7F7F">
        <w:t>В спектр услуг, предоставляемых Банком, входит организация сделок слияния и поглощения (M&amp;A</w:t>
      </w:r>
      <w:r w:rsidR="002F7F7F" w:rsidRPr="002F7F7F">
        <w:t>),</w:t>
      </w:r>
      <w:r w:rsidRPr="002F7F7F">
        <w:t xml:space="preserve"> приватизационных сделок, привлечение инвестиций, проектное финансирование, leveraged buy-out и management buy-out, реструктуризация и предпродажная подготовка предприятий, создание совместных предприятий</w:t>
      </w:r>
      <w:r w:rsidR="002F7F7F" w:rsidRPr="002F7F7F">
        <w:t xml:space="preserve">. </w:t>
      </w:r>
      <w:r w:rsidRPr="002F7F7F">
        <w:t>КИТ Финанс осуществляет банковское обслуживание клиентов в рамках предоставления полного комплекса инвестиционно-банковских услуг, что повышает качество и создает комфортные условия для обслуживания клиентов</w:t>
      </w:r>
      <w:r w:rsidR="002F7F7F" w:rsidRPr="002F7F7F">
        <w:t xml:space="preserve">. </w:t>
      </w:r>
      <w:r w:rsidRPr="002F7F7F">
        <w:t>В банковское направление бизнеса КИТ Финанс входит расчетно-кассовое обслуживание, кредитование и привлечение денежных средств клиентов, Интернет-эквайринг, развитие корреспондентских отношений с банками-партнерами и др</w:t>
      </w:r>
      <w:r w:rsidR="002F7F7F" w:rsidRPr="002F7F7F">
        <w:t xml:space="preserve">.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В состав группы входят инвестиционный банк (КИТ Финанс Инвестиционный банк (ОАО</w:t>
      </w:r>
      <w:r w:rsidR="002F7F7F" w:rsidRPr="002F7F7F">
        <w:t>)),</w:t>
      </w:r>
      <w:r w:rsidRPr="002F7F7F">
        <w:t xml:space="preserve"> брокерская компания (КИТ Финанс (ООО</w:t>
      </w:r>
      <w:r w:rsidR="002F7F7F" w:rsidRPr="002F7F7F">
        <w:t>)),</w:t>
      </w:r>
      <w:r w:rsidRPr="002F7F7F">
        <w:t xml:space="preserve"> управляющая компания (КИТ Финанс (ОАО</w:t>
      </w:r>
      <w:r w:rsidR="002F7F7F" w:rsidRPr="002F7F7F">
        <w:t>)),</w:t>
      </w:r>
      <w:r w:rsidRPr="002F7F7F">
        <w:t xml:space="preserve"> лизинговая компания, негосударственный пенсионный фонд КИТ Финанс, а также дочерняя европейская инвестиционная компания и управляющая компания в Казахстане</w:t>
      </w:r>
      <w:r w:rsidR="002F7F7F" w:rsidRPr="002F7F7F">
        <w:t xml:space="preserve">.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Активы в управлении – более 13,5 млрд</w:t>
      </w:r>
      <w:r w:rsidR="002F7F7F" w:rsidRPr="002F7F7F">
        <w:t xml:space="preserve">. </w:t>
      </w:r>
      <w:r w:rsidRPr="002F7F7F">
        <w:t xml:space="preserve">рублей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Собственный капитал Банка – 5,8 млрд</w:t>
      </w:r>
      <w:r w:rsidR="002F7F7F" w:rsidRPr="002F7F7F">
        <w:t xml:space="preserve">. </w:t>
      </w:r>
      <w:r w:rsidRPr="002F7F7F">
        <w:t>рублей (по данным МСФО</w:t>
      </w:r>
      <w:r w:rsidR="002F7F7F" w:rsidRPr="002F7F7F">
        <w:t xml:space="preserve">).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Валюта баланса Банка – свыше 35,3 млрд</w:t>
      </w:r>
      <w:r w:rsidR="002F7F7F" w:rsidRPr="002F7F7F">
        <w:t xml:space="preserve">. </w:t>
      </w:r>
      <w:r w:rsidRPr="002F7F7F">
        <w:t>рублей (по данным МСФО</w:t>
      </w:r>
      <w:r w:rsidR="002F7F7F" w:rsidRPr="002F7F7F">
        <w:t xml:space="preserve">)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Чистая прибыль Банка– свыше 3 млрд</w:t>
      </w:r>
      <w:r w:rsidR="002F7F7F" w:rsidRPr="002F7F7F">
        <w:t xml:space="preserve">. </w:t>
      </w:r>
      <w:r w:rsidRPr="002F7F7F">
        <w:t>рублей (по данным МСФО</w:t>
      </w:r>
      <w:r w:rsidR="002F7F7F" w:rsidRPr="002F7F7F">
        <w:t xml:space="preserve">)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Рейтинг Standard&amp;Poor’s (ССС+/Стабильный</w:t>
      </w:r>
      <w:r w:rsidR="002F7F7F" w:rsidRPr="002F7F7F">
        <w:t xml:space="preserve">)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Рейтинг РА НАУФОР (</w:t>
      </w:r>
      <w:r w:rsidR="002F7F7F" w:rsidRPr="002F7F7F">
        <w:t>"</w:t>
      </w:r>
      <w:r w:rsidRPr="002F7F7F">
        <w:t>АА-</w:t>
      </w:r>
      <w:r w:rsidR="002F7F7F" w:rsidRPr="002F7F7F">
        <w:t>"</w:t>
      </w:r>
      <w:r w:rsidRPr="002F7F7F">
        <w:t xml:space="preserve"> очень высокая степень надежности</w:t>
      </w:r>
      <w:r w:rsidR="002F7F7F" w:rsidRPr="002F7F7F">
        <w:t xml:space="preserve">) </w:t>
      </w:r>
    </w:p>
    <w:p w:rsidR="00A13421" w:rsidRPr="002F7F7F" w:rsidRDefault="006C54D8" w:rsidP="002F7F7F">
      <w:pPr>
        <w:widowControl w:val="0"/>
        <w:autoSpaceDE w:val="0"/>
        <w:autoSpaceDN w:val="0"/>
        <w:adjustRightInd w:val="0"/>
      </w:pPr>
      <w:r w:rsidRPr="002F7F7F">
        <w:t>О</w:t>
      </w:r>
      <w:r w:rsidR="006103DC" w:rsidRPr="002F7F7F">
        <w:t>ОО "Компания Брокеркредитсервис" работает с 1995 года и занимает лидирующие позиции на российском фондовом рынке</w:t>
      </w:r>
      <w:r w:rsidR="002F7F7F" w:rsidRPr="002F7F7F">
        <w:t xml:space="preserve">. </w:t>
      </w:r>
      <w:r w:rsidR="006103DC" w:rsidRPr="002F7F7F">
        <w:t>Компания оказывает следующие услуги</w:t>
      </w:r>
      <w:r w:rsidR="002F7F7F" w:rsidRPr="002F7F7F">
        <w:t xml:space="preserve">: </w:t>
      </w:r>
      <w:r w:rsidR="006103DC" w:rsidRPr="007311C3">
        <w:t>интернет-трейдинг</w:t>
      </w:r>
      <w:r w:rsidR="006103DC" w:rsidRPr="002F7F7F">
        <w:t>, управление активами, информационно-аналитическое сопровождение и финансовое консультирование</w:t>
      </w:r>
      <w:r w:rsidR="002F7F7F" w:rsidRPr="002F7F7F">
        <w:t xml:space="preserve">. </w:t>
      </w:r>
      <w:r w:rsidR="006103DC" w:rsidRPr="002F7F7F">
        <w:t xml:space="preserve">Согласно </w:t>
      </w:r>
      <w:r w:rsidR="006103DC" w:rsidRPr="007311C3">
        <w:t>рейтингу Национальной Ассоциации Участников Фондового Рынка (НАУФОР</w:t>
      </w:r>
      <w:r w:rsidR="002F7F7F" w:rsidRPr="007311C3">
        <w:t xml:space="preserve">) </w:t>
      </w:r>
      <w:r w:rsidR="006103DC" w:rsidRPr="002F7F7F">
        <w:t>, Компания "Брокеркредитсервис" обладает индивидуальным рейтингом надежности на уровне "АА+" (очень высокая надежность</w:t>
      </w:r>
      <w:r w:rsidR="002F7F7F" w:rsidRPr="002F7F7F">
        <w:t xml:space="preserve"> - </w:t>
      </w:r>
      <w:r w:rsidR="006103DC" w:rsidRPr="002F7F7F">
        <w:t>первый уровень</w:t>
      </w:r>
      <w:r w:rsidR="002F7F7F" w:rsidRPr="002F7F7F">
        <w:t xml:space="preserve">.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рекордные показатели по оборотам</w:t>
      </w:r>
      <w:r w:rsidRPr="002F7F7F">
        <w:rPr>
          <w:rStyle w:val="moreorange"/>
        </w:rPr>
        <w:t>*</w:t>
      </w:r>
      <w:r w:rsidRPr="002F7F7F">
        <w:t xml:space="preserve"> (по итогам 2006 года оборот компании составит 330 миллиардов долларов</w:t>
      </w:r>
      <w:r w:rsidR="002F7F7F" w:rsidRPr="002F7F7F">
        <w:t xml:space="preserve">) 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наибольшая клиентская база</w:t>
      </w:r>
      <w:r w:rsidRPr="002F7F7F">
        <w:rPr>
          <w:rStyle w:val="moreorange"/>
        </w:rPr>
        <w:t>*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наиболее развитая филиальная сеть</w:t>
      </w:r>
    </w:p>
    <w:p w:rsidR="006103DC" w:rsidRPr="002F7F7F" w:rsidRDefault="006103DC" w:rsidP="002F7F7F">
      <w:pPr>
        <w:widowControl w:val="0"/>
        <w:autoSpaceDE w:val="0"/>
        <w:autoSpaceDN w:val="0"/>
        <w:adjustRightInd w:val="0"/>
      </w:pPr>
      <w:r w:rsidRPr="002F7F7F">
        <w:t>В группу компаний "Брокеркредитсервис" входят</w:t>
      </w:r>
      <w:r w:rsidR="002F7F7F" w:rsidRPr="002F7F7F">
        <w:t xml:space="preserve">: </w:t>
      </w:r>
      <w:r w:rsidRPr="007311C3">
        <w:t>ЗАО "Управляющая компания Брокеркредитсервис"</w:t>
      </w:r>
      <w:r w:rsidRPr="002F7F7F">
        <w:t xml:space="preserve"> (управление активами ПИФов, НПФов, пенсионными накоплениями российских граждан</w:t>
      </w:r>
      <w:r w:rsidR="002F7F7F" w:rsidRPr="002F7F7F">
        <w:t xml:space="preserve">); </w:t>
      </w:r>
      <w:r w:rsidRPr="007311C3">
        <w:t>ООО "БКС Консалтинг"</w:t>
      </w:r>
      <w:r w:rsidRPr="002F7F7F">
        <w:t>(оказание услуг финансового консультирования, в первую очередь</w:t>
      </w:r>
      <w:r w:rsidR="002F7F7F" w:rsidRPr="002F7F7F">
        <w:t xml:space="preserve"> - </w:t>
      </w:r>
      <w:r w:rsidRPr="002F7F7F">
        <w:t>в сфере привлечения инвестиций в развитие российских предприятий, а также финансового управления, в области слияний и поглощений, налогового планирования и развития бизнеса</w:t>
      </w:r>
      <w:r w:rsidR="002F7F7F" w:rsidRPr="002F7F7F">
        <w:t xml:space="preserve">); </w:t>
      </w:r>
      <w:r w:rsidR="0013475E" w:rsidRPr="007311C3">
        <w:t>BrokerCreditService (Cyprus</w:t>
      </w:r>
      <w:r w:rsidR="002F7F7F" w:rsidRPr="007311C3">
        <w:t xml:space="preserve">) </w:t>
      </w:r>
      <w:r w:rsidR="0013475E" w:rsidRPr="007311C3">
        <w:t>Limited</w:t>
      </w:r>
      <w:r w:rsidR="0013475E" w:rsidRPr="002F7F7F">
        <w:t xml:space="preserve"> (лицензированный в Евросоюзе брокер</w:t>
      </w:r>
      <w:r w:rsidR="002F7F7F" w:rsidRPr="002F7F7F">
        <w:t xml:space="preserve">; </w:t>
      </w:r>
      <w:r w:rsidR="0013475E" w:rsidRPr="002F7F7F">
        <w:t>деятельность</w:t>
      </w:r>
      <w:r w:rsidR="002F7F7F" w:rsidRPr="002F7F7F">
        <w:t xml:space="preserve">: </w:t>
      </w:r>
      <w:r w:rsidR="0013475E" w:rsidRPr="002F7F7F">
        <w:t>компания оказывает широкий спектр услуг на территории Евросоюза, включающий в себя операции с различными видами финансовых инструментов</w:t>
      </w:r>
      <w:r w:rsidR="002F7F7F" w:rsidRPr="002F7F7F">
        <w:t xml:space="preserve"> - </w:t>
      </w:r>
      <w:r w:rsidR="0013475E" w:rsidRPr="002F7F7F">
        <w:t>брокерское обслуживание, депозитарное хранение ценных бумаг и кастодиальные услуги, предоставление займов для операций с ценными бумагами, консалтинг</w:t>
      </w:r>
      <w:r w:rsidR="002F7F7F" w:rsidRPr="002F7F7F">
        <w:t xml:space="preserve">); </w:t>
      </w:r>
      <w:r w:rsidR="0013475E" w:rsidRPr="007311C3">
        <w:t>Специализированный депозитарий ООО "МСД БКС"</w:t>
      </w:r>
      <w:r w:rsidR="0013475E" w:rsidRPr="002F7F7F">
        <w:t xml:space="preserve"> (деятельность</w:t>
      </w:r>
      <w:r w:rsidR="002F7F7F" w:rsidRPr="002F7F7F">
        <w:t xml:space="preserve">: </w:t>
      </w:r>
      <w:r w:rsidR="0013475E" w:rsidRPr="002F7F7F">
        <w:t>учет и хранение имущества, а также прав на ценные бумаги паевых инвестиционных фондов и негосударственных пенсионных фондов, депозитарное обслуживание, ведение реестров пайщиков ПИФов</w:t>
      </w:r>
      <w:r w:rsidR="002F7F7F" w:rsidRPr="002F7F7F">
        <w:t xml:space="preserve">); </w:t>
      </w:r>
      <w:r w:rsidR="0013475E" w:rsidRPr="002F7F7F">
        <w:t>НПФ "Российский пенсионный фонд"(деятельность</w:t>
      </w:r>
      <w:r w:rsidR="002F7F7F" w:rsidRPr="002F7F7F">
        <w:t xml:space="preserve">: </w:t>
      </w:r>
      <w:r w:rsidR="0013475E" w:rsidRPr="002F7F7F">
        <w:t>управление накопительной частью пенсии граждан РФ, добровольное пенсионное страхование граждан РФ</w:t>
      </w:r>
      <w:r w:rsidR="002F7F7F" w:rsidRPr="002F7F7F">
        <w:t xml:space="preserve">); </w:t>
      </w:r>
      <w:r w:rsidR="0013475E" w:rsidRPr="002F7F7F">
        <w:t>СК "БАСТРА"(деятельность</w:t>
      </w:r>
      <w:r w:rsidR="002F7F7F" w:rsidRPr="002F7F7F">
        <w:t xml:space="preserve">: </w:t>
      </w:r>
      <w:r w:rsidR="0013475E" w:rsidRPr="002F7F7F">
        <w:t>компания имеет лицензию на 35 видов страхования и предоставляет широкий спектр услуг на страховом рынке России</w:t>
      </w:r>
      <w:r w:rsidR="002F7F7F" w:rsidRPr="002F7F7F">
        <w:t xml:space="preserve">); </w:t>
      </w:r>
      <w:r w:rsidR="0013475E" w:rsidRPr="007311C3">
        <w:t>"БКС-АйТи"</w:t>
      </w:r>
      <w:r w:rsidR="0013475E" w:rsidRPr="002F7F7F">
        <w:t>(деятельность</w:t>
      </w:r>
      <w:r w:rsidR="002F7F7F" w:rsidRPr="002F7F7F">
        <w:t xml:space="preserve">: </w:t>
      </w:r>
      <w:r w:rsidR="0013475E" w:rsidRPr="002F7F7F">
        <w:t>широкий спектр услуг по разработке программного обеспечения</w:t>
      </w:r>
      <w:r w:rsidR="002F7F7F" w:rsidRPr="002F7F7F">
        <w:t xml:space="preserve">). </w:t>
      </w:r>
    </w:p>
    <w:p w:rsidR="0013475E" w:rsidRPr="002F7F7F" w:rsidRDefault="0013475E" w:rsidP="002F7F7F">
      <w:pPr>
        <w:widowControl w:val="0"/>
        <w:autoSpaceDE w:val="0"/>
        <w:autoSpaceDN w:val="0"/>
        <w:adjustRightInd w:val="0"/>
      </w:pPr>
      <w:r w:rsidRPr="002F7F7F">
        <w:t>По итогам 2005 года общий оборот составил 3,22 млрд</w:t>
      </w:r>
      <w:r w:rsidR="002F7F7F" w:rsidRPr="002F7F7F">
        <w:t xml:space="preserve">. </w:t>
      </w:r>
      <w:r w:rsidRPr="002F7F7F">
        <w:t>рублей, а количество клиентов компании</w:t>
      </w:r>
      <w:r w:rsidR="002F7F7F" w:rsidRPr="002F7F7F">
        <w:t xml:space="preserve"> - </w:t>
      </w:r>
      <w:r w:rsidRPr="002F7F7F">
        <w:t>16</w:t>
      </w:r>
      <w:r w:rsidR="006C54D8" w:rsidRPr="002F7F7F">
        <w:t> </w:t>
      </w:r>
      <w:r w:rsidRPr="002F7F7F">
        <w:t>328</w:t>
      </w:r>
      <w:r w:rsidR="002F7F7F" w:rsidRPr="002F7F7F">
        <w:t xml:space="preserve">. </w:t>
      </w:r>
    </w:p>
    <w:p w:rsidR="006C54D8" w:rsidRPr="002F7F7F" w:rsidRDefault="006C54D8" w:rsidP="002F7F7F">
      <w:pPr>
        <w:widowControl w:val="0"/>
        <w:autoSpaceDE w:val="0"/>
        <w:autoSpaceDN w:val="0"/>
        <w:adjustRightInd w:val="0"/>
      </w:pPr>
      <w:r w:rsidRPr="002F7F7F">
        <w:t xml:space="preserve">Тенденции активности инвестиционных компаний на рынке ценных бумаг </w:t>
      </w:r>
    </w:p>
    <w:p w:rsidR="002F7F7F" w:rsidRDefault="0013475E" w:rsidP="002F7F7F">
      <w:pPr>
        <w:widowControl w:val="0"/>
        <w:autoSpaceDE w:val="0"/>
        <w:autoSpaceDN w:val="0"/>
        <w:adjustRightInd w:val="0"/>
      </w:pPr>
      <w:r w:rsidRPr="002F7F7F">
        <w:t>В последнее время происходил</w:t>
      </w:r>
      <w:r w:rsidR="002F7F7F" w:rsidRPr="002F7F7F">
        <w:t xml:space="preserve"> </w:t>
      </w:r>
      <w:r w:rsidRPr="002F7F7F">
        <w:t>рост объемов торгов инвестиционных компаний</w:t>
      </w:r>
      <w:r w:rsidR="002F7F7F" w:rsidRPr="002F7F7F">
        <w:t xml:space="preserve">: </w:t>
      </w:r>
      <w:r w:rsidRPr="002F7F7F">
        <w:t>стремительно росли и котировки акций, и число клиентов брокерских компаний</w:t>
      </w:r>
      <w:r w:rsidR="002F7F7F" w:rsidRPr="002F7F7F">
        <w:t xml:space="preserve">. </w:t>
      </w:r>
      <w:r w:rsidRPr="002F7F7F">
        <w:t>В результате совокупный оборот инвестиционных компаний по всем видам ценных бумаг в первой половине 2006 года составил 24,4 трлн руб</w:t>
      </w:r>
      <w:r w:rsidR="002F7F7F" w:rsidRPr="002F7F7F">
        <w:t>.,</w:t>
      </w:r>
      <w:r w:rsidRPr="002F7F7F">
        <w:t xml:space="preserve"> что в 1,75 раза больше аналогичного результата 2005 года</w:t>
      </w:r>
      <w:r w:rsidR="002F7F7F" w:rsidRPr="002F7F7F">
        <w:t xml:space="preserve">. </w:t>
      </w:r>
      <w:r w:rsidRPr="002F7F7F">
        <w:t>При этом структура совокупных оборотов профучастников фондового рынка выглядит так</w:t>
      </w:r>
      <w:r w:rsidR="002F7F7F" w:rsidRPr="002F7F7F">
        <w:t xml:space="preserve">: </w:t>
      </w:r>
      <w:r w:rsidRPr="002F7F7F">
        <w:t>около 52% приходится на биржевые обороты, а 48%</w:t>
      </w:r>
      <w:r w:rsidR="002F7F7F">
        <w:t xml:space="preserve"> - </w:t>
      </w:r>
      <w:r w:rsidRPr="002F7F7F">
        <w:t>на внебиржевые</w:t>
      </w:r>
      <w:r w:rsidR="002F7F7F" w:rsidRPr="002F7F7F">
        <w:t xml:space="preserve">. </w:t>
      </w:r>
      <w:r w:rsidRPr="002F7F7F">
        <w:t>То есть суммарный оборот на биржах впервые за долгие годы превысил оборот внебиржевого рынка</w:t>
      </w:r>
      <w:r w:rsidR="002F7F7F">
        <w:t>.</w:t>
      </w:r>
    </w:p>
    <w:p w:rsidR="002F7F7F" w:rsidRDefault="0013475E" w:rsidP="002F7F7F">
      <w:pPr>
        <w:widowControl w:val="0"/>
        <w:autoSpaceDE w:val="0"/>
        <w:autoSpaceDN w:val="0"/>
        <w:adjustRightInd w:val="0"/>
      </w:pPr>
      <w:r w:rsidRPr="002F7F7F">
        <w:t>Для этого есть несколько причин</w:t>
      </w:r>
      <w:r w:rsidR="002F7F7F" w:rsidRPr="002F7F7F">
        <w:t xml:space="preserve">. </w:t>
      </w:r>
      <w:r w:rsidRPr="002F7F7F">
        <w:t>Ведущие биржи в последнее время очень много делают для привлечения компаний на свои торговые площадки и увеличения их активности</w:t>
      </w:r>
      <w:r w:rsidR="002F7F7F" w:rsidRPr="002F7F7F">
        <w:t xml:space="preserve">. </w:t>
      </w:r>
      <w:r w:rsidRPr="002F7F7F">
        <w:t>В результате немало инвестиционных компаний, которые ранее работали в качестве субброкеров</w:t>
      </w:r>
      <w:r w:rsidR="00B83BA2" w:rsidRPr="002F7F7F">
        <w:t>*</w:t>
      </w:r>
      <w:r w:rsidRPr="002F7F7F">
        <w:t>, вышли на биржи напрямую и пополнили ряды участников организованного рынка</w:t>
      </w:r>
      <w:r w:rsidR="002F7F7F" w:rsidRPr="002F7F7F">
        <w:t xml:space="preserve">. </w:t>
      </w:r>
      <w:r w:rsidRPr="002F7F7F">
        <w:t>Связано это с тем, что цена выхода на биржу существенно снизилась за последние годы, а сами бывшие субброкеры вышли на новый уровень</w:t>
      </w:r>
      <w:r w:rsidR="002F7F7F" w:rsidRPr="002F7F7F">
        <w:t xml:space="preserve">. </w:t>
      </w:r>
      <w:r w:rsidRPr="002F7F7F">
        <w:t>В следующем году эта тенденция должна усилиться в связи с разрабатываемым ФСФР положением об отчетности профучастников по внебиржевым сделкам</w:t>
      </w:r>
      <w:r w:rsidR="002F7F7F" w:rsidRPr="002F7F7F">
        <w:t xml:space="preserve">. </w:t>
      </w:r>
      <w:r w:rsidRPr="002F7F7F">
        <w:t>Планируется, что с середины следующего года биржи будут взимать плату за раскрытие такой информации</w:t>
      </w:r>
      <w:r w:rsidR="002F7F7F" w:rsidRPr="002F7F7F">
        <w:t xml:space="preserve">. </w:t>
      </w:r>
      <w:r w:rsidRPr="002F7F7F">
        <w:t>И в этом случае брокерам будет просто дешевле проводить сделки через биржу</w:t>
      </w:r>
      <w:r w:rsidR="002F7F7F">
        <w:t>.</w:t>
      </w:r>
    </w:p>
    <w:p w:rsidR="002F7F7F" w:rsidRDefault="0013475E" w:rsidP="002F7F7F">
      <w:pPr>
        <w:widowControl w:val="0"/>
        <w:autoSpaceDE w:val="0"/>
        <w:autoSpaceDN w:val="0"/>
        <w:adjustRightInd w:val="0"/>
      </w:pPr>
      <w:r w:rsidRPr="002F7F7F">
        <w:t>Сокращению внебиржевого сектора способствовало существенное сокращение операций с векселями</w:t>
      </w:r>
      <w:r w:rsidR="002F7F7F" w:rsidRPr="002F7F7F">
        <w:t xml:space="preserve">. </w:t>
      </w:r>
      <w:r w:rsidRPr="002F7F7F">
        <w:t>При этом по компаниям, раскрывшим свои данные, объемы операций с векселями сократились на 10%</w:t>
      </w:r>
      <w:r w:rsidR="002F7F7F" w:rsidRPr="002F7F7F">
        <w:t xml:space="preserve">. </w:t>
      </w:r>
      <w:r w:rsidRPr="002F7F7F">
        <w:t>Величина небольшая, в пределах погрешности измерения</w:t>
      </w:r>
      <w:r w:rsidR="002F7F7F" w:rsidRPr="002F7F7F">
        <w:t xml:space="preserve">. </w:t>
      </w:r>
      <w:r w:rsidRPr="002F7F7F">
        <w:t>Тем не менее тенденция налицо</w:t>
      </w:r>
      <w:r w:rsidR="002F7F7F" w:rsidRPr="002F7F7F">
        <w:t xml:space="preserve">. </w:t>
      </w:r>
      <w:r w:rsidRPr="002F7F7F">
        <w:t>Если года три назад практически каждая инвестиционная компания в том или ином объеме совершала операции с векселями, то сейчас круг вексельных операторов значительно сократился</w:t>
      </w:r>
      <w:r w:rsidR="002F7F7F" w:rsidRPr="002F7F7F">
        <w:t xml:space="preserve">. </w:t>
      </w:r>
      <w:r w:rsidRPr="002F7F7F">
        <w:t>А многие лидеры в этой сфере все решительнее переориентируются на облигации и акции</w:t>
      </w:r>
      <w:r w:rsidR="002F7F7F">
        <w:t>.</w:t>
      </w:r>
    </w:p>
    <w:p w:rsidR="003A574A" w:rsidRPr="002F7F7F" w:rsidRDefault="0013475E" w:rsidP="002F7F7F">
      <w:pPr>
        <w:widowControl w:val="0"/>
        <w:autoSpaceDE w:val="0"/>
        <w:autoSpaceDN w:val="0"/>
        <w:adjustRightInd w:val="0"/>
      </w:pPr>
      <w:r w:rsidRPr="002F7F7F">
        <w:t>При этом объем торгов акциями среди компаний, раскрывших свои данные, вы</w:t>
      </w:r>
      <w:r w:rsidR="003A574A" w:rsidRPr="002F7F7F">
        <w:t>рос в 2,5 раза, а облигациями</w:t>
      </w:r>
      <w:r w:rsidR="002F7F7F" w:rsidRPr="002F7F7F">
        <w:t xml:space="preserve"> - </w:t>
      </w:r>
      <w:r w:rsidRPr="002F7F7F">
        <w:t>в 1,8 раза</w:t>
      </w:r>
      <w:r w:rsidR="002F7F7F" w:rsidRPr="002F7F7F">
        <w:t xml:space="preserve">. </w:t>
      </w:r>
    </w:p>
    <w:p w:rsidR="002F7F7F" w:rsidRDefault="0013475E" w:rsidP="002F7F7F">
      <w:pPr>
        <w:widowControl w:val="0"/>
        <w:autoSpaceDE w:val="0"/>
        <w:autoSpaceDN w:val="0"/>
        <w:adjustRightInd w:val="0"/>
      </w:pPr>
      <w:r w:rsidRPr="002F7F7F">
        <w:t>Лидерство с постоянно увеличивающимся отрывом сохраняет ИК "Брокеркредитсервис" (БКС</w:t>
      </w:r>
      <w:r w:rsidR="002F7F7F" w:rsidRPr="002F7F7F">
        <w:t xml:space="preserve">). </w:t>
      </w:r>
      <w:r w:rsidRPr="002F7F7F">
        <w:t>Объем сделок БКС с ценными бумагами составил 5,3 трлн руб</w:t>
      </w:r>
      <w:r w:rsidR="002F7F7F" w:rsidRPr="002F7F7F">
        <w:t>.,</w:t>
      </w:r>
      <w:r w:rsidRPr="002F7F7F">
        <w:t xml:space="preserve"> почти столько же, сколько у компаний, </w:t>
      </w:r>
      <w:r w:rsidR="003A574A" w:rsidRPr="002F7F7F">
        <w:t>занявших второе-третье место</w:t>
      </w:r>
      <w:r w:rsidR="002F7F7F" w:rsidRPr="002F7F7F">
        <w:t xml:space="preserve"> - </w:t>
      </w:r>
      <w:r w:rsidRPr="002F7F7F">
        <w:t>"КИТ Финанс" и ГК "Тройка Диалог"</w:t>
      </w:r>
      <w:r w:rsidR="002F7F7F" w:rsidRPr="002F7F7F">
        <w:t xml:space="preserve">. </w:t>
      </w:r>
      <w:r w:rsidRPr="002F7F7F">
        <w:t>При этом БКС и "КИТ Финанс" утроили свои показатели по сравнению с аналогичным периодом прошлого года</w:t>
      </w:r>
      <w:r w:rsidR="002F7F7F" w:rsidRPr="002F7F7F">
        <w:t xml:space="preserve">. </w:t>
      </w:r>
      <w:r w:rsidRPr="002F7F7F">
        <w:t>Из компаний первой десятки такой же активностью отличилась ГК "Регион"</w:t>
      </w:r>
      <w:r w:rsidR="002F7F7F">
        <w:t>.</w:t>
      </w:r>
    </w:p>
    <w:p w:rsidR="002F7F7F" w:rsidRDefault="0013475E" w:rsidP="002F7F7F">
      <w:pPr>
        <w:widowControl w:val="0"/>
        <w:autoSpaceDE w:val="0"/>
        <w:autoSpaceDN w:val="0"/>
        <w:adjustRightInd w:val="0"/>
      </w:pPr>
      <w:r w:rsidRPr="002F7F7F">
        <w:t>Ряд крупных компаний тоже продемонстрировали рост, но их результаты оказались ниже, чем в среднем по рынку</w:t>
      </w:r>
      <w:r w:rsidR="002F7F7F" w:rsidRPr="002F7F7F">
        <w:t xml:space="preserve">. </w:t>
      </w:r>
      <w:r w:rsidRPr="002F7F7F">
        <w:t>Некоторые компании ("Уралсиб Кэпитал", группа "Ренессанс", ИФК "Метрополь"</w:t>
      </w:r>
      <w:r w:rsidR="002F7F7F" w:rsidRPr="002F7F7F">
        <w:t xml:space="preserve">) </w:t>
      </w:r>
      <w:r w:rsidRPr="002F7F7F">
        <w:t>показали даже снижение оборотов на растущем рынке</w:t>
      </w:r>
      <w:r w:rsidR="002F7F7F" w:rsidRPr="002F7F7F">
        <w:t xml:space="preserve">. </w:t>
      </w:r>
      <w:r w:rsidRPr="002F7F7F">
        <w:t>Но есть и откровенные провалы, когда отмечалось падение оборотов в два-три раза</w:t>
      </w:r>
      <w:r w:rsidR="002F7F7F" w:rsidRPr="002F7F7F">
        <w:t xml:space="preserve">. </w:t>
      </w:r>
      <w:r w:rsidRPr="002F7F7F">
        <w:t>Отчасти это было вызвано и снижением по обороту с облигациями, однако и у компаний, ориентированных на работу с акциями, наблюдались такие же неудачи</w:t>
      </w:r>
      <w:r w:rsidR="002F7F7F" w:rsidRPr="002F7F7F">
        <w:t xml:space="preserve">. </w:t>
      </w:r>
      <w:r w:rsidRPr="002F7F7F">
        <w:t>Это подтверждает тот факт, что рынок брокерских услуг остается весьма конкурентным</w:t>
      </w:r>
      <w:r w:rsidR="002F7F7F" w:rsidRPr="002F7F7F">
        <w:t xml:space="preserve">. </w:t>
      </w:r>
      <w:r w:rsidRPr="002F7F7F">
        <w:t>И положение лидеров рынка нельзя считать однозначно устойчивым</w:t>
      </w:r>
      <w:r w:rsidR="002F7F7F">
        <w:t>.</w:t>
      </w:r>
    </w:p>
    <w:p w:rsidR="002F7F7F" w:rsidRDefault="0013475E" w:rsidP="002F7F7F">
      <w:pPr>
        <w:widowControl w:val="0"/>
        <w:autoSpaceDE w:val="0"/>
        <w:autoSpaceDN w:val="0"/>
        <w:adjustRightInd w:val="0"/>
      </w:pPr>
      <w:r w:rsidRPr="002F7F7F">
        <w:t>Стоит отметить, что совокупный объем брокерских операций по итогам первого полугодия 2006 года составил 21,2 трлн руб</w:t>
      </w:r>
      <w:r w:rsidR="002F7F7F" w:rsidRPr="002F7F7F">
        <w:t>.,</w:t>
      </w:r>
      <w:r w:rsidRPr="002F7F7F">
        <w:t xml:space="preserve"> что почти в семь раз больше объема дилерских операций</w:t>
      </w:r>
      <w:r w:rsidR="002F7F7F" w:rsidRPr="002F7F7F">
        <w:t xml:space="preserve">. </w:t>
      </w:r>
      <w:r w:rsidRPr="002F7F7F">
        <w:t>По сравнению с итогами 2005 разрыв между брокерскими и дилерскими операциями увеличился</w:t>
      </w:r>
      <w:r w:rsidR="002F7F7F" w:rsidRPr="002F7F7F">
        <w:t xml:space="preserve">. </w:t>
      </w:r>
      <w:r w:rsidRPr="002F7F7F">
        <w:t>Компании все чаще предпочитают собственным операциям клиентские, тем самым сводя к минимуму свои рыночные риски</w:t>
      </w:r>
      <w:r w:rsidR="002F7F7F">
        <w:t>.</w:t>
      </w:r>
    </w:p>
    <w:p w:rsidR="002F7F7F" w:rsidRDefault="0013475E" w:rsidP="002F7F7F">
      <w:pPr>
        <w:widowControl w:val="0"/>
        <w:autoSpaceDE w:val="0"/>
        <w:autoSpaceDN w:val="0"/>
        <w:adjustRightInd w:val="0"/>
      </w:pPr>
      <w:r w:rsidRPr="002F7F7F">
        <w:t>Увеличение объема брокерских операций связано и с ростом числа клиентов</w:t>
      </w:r>
      <w:r w:rsidR="002F7F7F" w:rsidRPr="002F7F7F">
        <w:t xml:space="preserve">. </w:t>
      </w:r>
      <w:r w:rsidRPr="002F7F7F">
        <w:t>Так, у компаний, раскрывших свои данные, общее число клиентов в первом полугодии по сравнению с аналогичным периодом прошлого года выросло в 1,8 раза, превысив</w:t>
      </w:r>
      <w:r w:rsidR="003A574A" w:rsidRPr="002F7F7F">
        <w:t xml:space="preserve"> 101 тыс</w:t>
      </w:r>
      <w:r w:rsidR="002F7F7F" w:rsidRPr="002F7F7F">
        <w:t xml:space="preserve">. </w:t>
      </w:r>
      <w:r w:rsidR="003A574A" w:rsidRPr="002F7F7F">
        <w:t>Из них почти 90 тыс</w:t>
      </w:r>
      <w:r w:rsidR="002F7F7F" w:rsidRPr="002F7F7F">
        <w:t xml:space="preserve">. - </w:t>
      </w:r>
      <w:r w:rsidRPr="002F7F7F">
        <w:t>физические лица</w:t>
      </w:r>
      <w:r w:rsidR="002F7F7F" w:rsidRPr="002F7F7F">
        <w:t xml:space="preserve">. </w:t>
      </w:r>
      <w:r w:rsidRPr="002F7F7F">
        <w:t>При этом во втором квартале 2006 года прибавилось около 20 тыс</w:t>
      </w:r>
      <w:r w:rsidR="002F7F7F" w:rsidRPr="002F7F7F">
        <w:t xml:space="preserve">. </w:t>
      </w:r>
      <w:r w:rsidRPr="002F7F7F">
        <w:t>клиентов, почти 90% которых являлись физическими лицами</w:t>
      </w:r>
      <w:r w:rsidR="002F7F7F" w:rsidRPr="002F7F7F">
        <w:t xml:space="preserve">. </w:t>
      </w:r>
      <w:r w:rsidRPr="002F7F7F">
        <w:t>Эти показатели</w:t>
      </w:r>
      <w:r w:rsidR="002F7F7F" w:rsidRPr="002F7F7F">
        <w:t xml:space="preserve"> - </w:t>
      </w:r>
      <w:r w:rsidR="003A574A" w:rsidRPr="002F7F7F">
        <w:t>с учетом общего роста рынка</w:t>
      </w:r>
      <w:r w:rsidR="002F7F7F" w:rsidRPr="002F7F7F">
        <w:t xml:space="preserve"> - </w:t>
      </w:r>
      <w:r w:rsidRPr="002F7F7F">
        <w:t>свидетельствуют о том, что на рынок пришел массовый инвестор, хотя он пока и не может обеспечить роста валовых показателей</w:t>
      </w:r>
      <w:r w:rsidR="002F7F7F" w:rsidRPr="002F7F7F">
        <w:t>.</w:t>
      </w:r>
    </w:p>
    <w:p w:rsidR="006103DC" w:rsidRPr="002F7F7F" w:rsidRDefault="006C54D8" w:rsidP="00686429">
      <w:pPr>
        <w:pStyle w:val="2"/>
      </w:pPr>
      <w:r w:rsidRPr="002F7F7F">
        <w:t>ЗАКЛЮЧЕНИЕ</w:t>
      </w:r>
    </w:p>
    <w:p w:rsidR="00686429" w:rsidRDefault="00686429" w:rsidP="002F7F7F">
      <w:pPr>
        <w:widowControl w:val="0"/>
        <w:autoSpaceDE w:val="0"/>
        <w:autoSpaceDN w:val="0"/>
        <w:adjustRightInd w:val="0"/>
        <w:rPr>
          <w:lang w:val="uk-UA"/>
        </w:rPr>
      </w:pPr>
    </w:p>
    <w:p w:rsidR="006C54D8" w:rsidRPr="002F7F7F" w:rsidRDefault="005034A8" w:rsidP="002F7F7F">
      <w:pPr>
        <w:widowControl w:val="0"/>
        <w:autoSpaceDE w:val="0"/>
        <w:autoSpaceDN w:val="0"/>
        <w:adjustRightInd w:val="0"/>
      </w:pPr>
      <w:r w:rsidRPr="002F7F7F">
        <w:t>Итак, и</w:t>
      </w:r>
      <w:r w:rsidR="006C54D8" w:rsidRPr="002F7F7F">
        <w:t>нвестиционные институты</w:t>
      </w:r>
      <w:r w:rsidR="002F7F7F" w:rsidRPr="002F7F7F">
        <w:t xml:space="preserve"> - </w:t>
      </w:r>
      <w:r w:rsidR="006C54D8" w:rsidRPr="002F7F7F">
        <w:t>профессиональные участники рынка ценных бумаг, осуществляющие свою деятельность с ценными бумагами как исключительную</w:t>
      </w:r>
      <w:r w:rsidR="002F7F7F" w:rsidRPr="002F7F7F">
        <w:t xml:space="preserve">. </w:t>
      </w:r>
    </w:p>
    <w:p w:rsidR="006C54D8" w:rsidRPr="002F7F7F" w:rsidRDefault="005034A8" w:rsidP="002F7F7F">
      <w:pPr>
        <w:widowControl w:val="0"/>
        <w:autoSpaceDE w:val="0"/>
        <w:autoSpaceDN w:val="0"/>
        <w:adjustRightInd w:val="0"/>
      </w:pPr>
      <w:r w:rsidRPr="002F7F7F">
        <w:t>Основным</w:t>
      </w:r>
      <w:r w:rsidR="006C54D8" w:rsidRPr="002F7F7F">
        <w:t xml:space="preserve"> предмет</w:t>
      </w:r>
      <w:r w:rsidRPr="002F7F7F">
        <w:t>ом</w:t>
      </w:r>
      <w:r w:rsidR="006C54D8" w:rsidRPr="002F7F7F">
        <w:t xml:space="preserve"> деятельности инвестиционной ком</w:t>
      </w:r>
      <w:r w:rsidRPr="002F7F7F">
        <w:t>пании является</w:t>
      </w:r>
      <w:r w:rsidR="006C54D8" w:rsidRPr="002F7F7F">
        <w:t xml:space="preserve"> определение условий и подготовка новых выпусков ценных бумаг, покупка их у эмитентов с тем, чтобы потом совершить перепродажу ценных бумаг инвесторам, гарантирование размещения, создание синдикатов по подписке или групп по продаже новых выпусков</w:t>
      </w:r>
      <w:r w:rsidR="002F7F7F" w:rsidRPr="002F7F7F">
        <w:t xml:space="preserve">. </w:t>
      </w:r>
      <w:r w:rsidR="000C4E40" w:rsidRPr="002F7F7F">
        <w:t>Андеррайтинг</w:t>
      </w:r>
      <w:r w:rsidR="002F7F7F" w:rsidRPr="002F7F7F">
        <w:t xml:space="preserve"> - </w:t>
      </w:r>
      <w:r w:rsidR="000C4E40" w:rsidRPr="002F7F7F">
        <w:t>базовая функция инвестиционной компании</w:t>
      </w:r>
      <w:r w:rsidR="002F7F7F" w:rsidRPr="002F7F7F">
        <w:t xml:space="preserve">. </w:t>
      </w:r>
      <w:r w:rsidR="000C4E40" w:rsidRPr="002F7F7F">
        <w:t>Андеррайтинг (в значении, принятом на фондовом рынке</w:t>
      </w:r>
      <w:r w:rsidR="002F7F7F" w:rsidRPr="002F7F7F">
        <w:t xml:space="preserve">) - </w:t>
      </w:r>
      <w:r w:rsidR="000C4E40" w:rsidRPr="002F7F7F">
        <w:t>это покупка или гарантирование покупки ценных бумаг при их первичном размещении для продажи публике</w:t>
      </w:r>
      <w:r w:rsidR="002F7F7F" w:rsidRPr="002F7F7F">
        <w:t xml:space="preserve">. </w:t>
      </w:r>
    </w:p>
    <w:p w:rsidR="006C54D8" w:rsidRPr="002F7F7F" w:rsidRDefault="005034A8" w:rsidP="002F7F7F">
      <w:pPr>
        <w:widowControl w:val="0"/>
        <w:autoSpaceDE w:val="0"/>
        <w:autoSpaceDN w:val="0"/>
        <w:adjustRightInd w:val="0"/>
      </w:pPr>
      <w:r w:rsidRPr="002F7F7F">
        <w:t>Если обратиться к истории возникновения инвестиционных компаний, первые структуры, назвавшие себя инвестиционными компаниями в качестве действующих на российском рынке, не являлись по характеру деятельности профессиональными участниками рынка ценных бумаг и не соответствовали правовым условиям, установленных для них российским законодательством</w:t>
      </w:r>
      <w:r w:rsidR="002F7F7F" w:rsidRPr="002F7F7F">
        <w:t xml:space="preserve">. </w:t>
      </w:r>
      <w:r w:rsidRPr="002F7F7F">
        <w:t>И только значительно позже появились инвестиционные компании, в полном смысле этого слова</w:t>
      </w:r>
      <w:r w:rsidR="002F7F7F" w:rsidRPr="002F7F7F">
        <w:t xml:space="preserve">. </w:t>
      </w:r>
    </w:p>
    <w:p w:rsidR="002F7F7F" w:rsidRPr="002F7F7F" w:rsidRDefault="005034A8" w:rsidP="002F7F7F">
      <w:pPr>
        <w:widowControl w:val="0"/>
        <w:autoSpaceDE w:val="0"/>
        <w:autoSpaceDN w:val="0"/>
        <w:adjustRightInd w:val="0"/>
      </w:pPr>
      <w:r w:rsidRPr="002F7F7F">
        <w:t>Так как банки и инвестиционные компании выполняют однотипные операции на рынке ценных бумаг, поэтому между ними должно развернуться соперничество за доли этого рынка</w:t>
      </w:r>
      <w:r w:rsidR="002F7F7F" w:rsidRPr="002F7F7F">
        <w:t xml:space="preserve">. </w:t>
      </w:r>
    </w:p>
    <w:p w:rsidR="000C4E40" w:rsidRPr="002F7F7F" w:rsidRDefault="005034A8" w:rsidP="002F7F7F">
      <w:pPr>
        <w:widowControl w:val="0"/>
        <w:autoSpaceDE w:val="0"/>
        <w:autoSpaceDN w:val="0"/>
        <w:adjustRightInd w:val="0"/>
      </w:pPr>
      <w:r w:rsidRPr="002F7F7F">
        <w:t>Лидерами российского рынка ценных бумаг являются такие инвестиционные компании, как ИК "Брокеркредитсервис" (БКС</w:t>
      </w:r>
      <w:r w:rsidR="002F7F7F" w:rsidRPr="002F7F7F">
        <w:t xml:space="preserve">) </w:t>
      </w:r>
      <w:r w:rsidRPr="002F7F7F">
        <w:t>(объем сделок БКС с ценными бумагами составил 5,3 трлн руб</w:t>
      </w:r>
      <w:r w:rsidR="002F7F7F" w:rsidRPr="002F7F7F">
        <w:t>),</w:t>
      </w:r>
      <w:r w:rsidRPr="002F7F7F">
        <w:t xml:space="preserve"> "КИТ Финанс" и ГК "Тройка Диалог"</w:t>
      </w:r>
      <w:r w:rsidR="002F7F7F" w:rsidRPr="002F7F7F">
        <w:t xml:space="preserve">. </w:t>
      </w:r>
      <w:r w:rsidR="000C4E40" w:rsidRPr="002F7F7F">
        <w:t>Если говорить о тенденциях активности инвестиционных компаний, то можно отметить следующее</w:t>
      </w:r>
      <w:r w:rsidR="002F7F7F" w:rsidRPr="002F7F7F">
        <w:t xml:space="preserve">: </w:t>
      </w:r>
    </w:p>
    <w:p w:rsidR="000C4E40" w:rsidRPr="002F7F7F" w:rsidRDefault="000C4E40" w:rsidP="002F7F7F">
      <w:pPr>
        <w:widowControl w:val="0"/>
        <w:autoSpaceDE w:val="0"/>
        <w:autoSpaceDN w:val="0"/>
        <w:adjustRightInd w:val="0"/>
      </w:pPr>
      <w:r w:rsidRPr="002F7F7F">
        <w:t>ч</w:t>
      </w:r>
      <w:r w:rsidR="005034A8" w:rsidRPr="002F7F7F">
        <w:t>уть более половины оборотов инвестиционных компаний приходится на биржевые</w:t>
      </w:r>
      <w:r w:rsidR="002F7F7F" w:rsidRPr="002F7F7F">
        <w:t xml:space="preserve">; </w:t>
      </w:r>
    </w:p>
    <w:p w:rsidR="000C4E40" w:rsidRPr="002F7F7F" w:rsidRDefault="005034A8" w:rsidP="002F7F7F">
      <w:pPr>
        <w:widowControl w:val="0"/>
        <w:autoSpaceDE w:val="0"/>
        <w:autoSpaceDN w:val="0"/>
        <w:adjustRightInd w:val="0"/>
      </w:pPr>
      <w:r w:rsidRPr="002F7F7F">
        <w:t>обнаружена тенденция к снижению объемов сделок с векселями</w:t>
      </w:r>
      <w:r w:rsidR="002F7F7F" w:rsidRPr="002F7F7F">
        <w:t xml:space="preserve">; </w:t>
      </w:r>
    </w:p>
    <w:p w:rsidR="002F7F7F" w:rsidRDefault="005034A8" w:rsidP="002F7F7F">
      <w:pPr>
        <w:widowControl w:val="0"/>
        <w:autoSpaceDE w:val="0"/>
        <w:autoSpaceDN w:val="0"/>
        <w:adjustRightInd w:val="0"/>
      </w:pPr>
      <w:r w:rsidRPr="002F7F7F">
        <w:t xml:space="preserve">объем брокерских операций превышает объем </w:t>
      </w:r>
      <w:r w:rsidR="000C4E40" w:rsidRPr="002F7F7F">
        <w:t>дилерских</w:t>
      </w:r>
      <w:r w:rsidR="002F7F7F" w:rsidRPr="002F7F7F">
        <w:t xml:space="preserve">. </w:t>
      </w:r>
    </w:p>
    <w:p w:rsidR="002F7F7F" w:rsidRPr="002F7F7F" w:rsidRDefault="002F7F7F" w:rsidP="002F7F7F">
      <w:pPr>
        <w:widowControl w:val="0"/>
        <w:autoSpaceDE w:val="0"/>
        <w:autoSpaceDN w:val="0"/>
        <w:adjustRightInd w:val="0"/>
      </w:pPr>
    </w:p>
    <w:p w:rsidR="005034A8" w:rsidRPr="002F7F7F" w:rsidRDefault="00686429" w:rsidP="00686429">
      <w:pPr>
        <w:pStyle w:val="2"/>
      </w:pPr>
      <w:r>
        <w:br w:type="page"/>
      </w:r>
      <w:r w:rsidR="000C4E40" w:rsidRPr="002F7F7F">
        <w:t>СПИСОК ЛИТЕРАТУРЫ</w:t>
      </w:r>
    </w:p>
    <w:p w:rsidR="00686429" w:rsidRDefault="00686429" w:rsidP="00A61320">
      <w:pPr>
        <w:widowControl w:val="0"/>
        <w:autoSpaceDE w:val="0"/>
        <w:autoSpaceDN w:val="0"/>
        <w:adjustRightInd w:val="0"/>
        <w:rPr>
          <w:lang w:val="uk-UA"/>
        </w:rPr>
      </w:pPr>
    </w:p>
    <w:p w:rsidR="000C4E40" w:rsidRPr="002F7F7F" w:rsidRDefault="000C4E40" w:rsidP="00A61320">
      <w:pPr>
        <w:pStyle w:val="a0"/>
        <w:jc w:val="both"/>
      </w:pPr>
      <w:r w:rsidRPr="007311C3">
        <w:t>Федеральный закон №39-ФЗ от 22</w:t>
      </w:r>
      <w:r w:rsidR="002F7F7F" w:rsidRPr="007311C3">
        <w:t>.04.9</w:t>
      </w:r>
      <w:r w:rsidRPr="007311C3">
        <w:t xml:space="preserve">6 </w:t>
      </w:r>
      <w:r w:rsidR="002F7F7F" w:rsidRPr="007311C3">
        <w:t>"</w:t>
      </w:r>
      <w:r w:rsidRPr="007311C3">
        <w:t>О рынке ценных бумаг</w:t>
      </w:r>
      <w:r w:rsidR="002F7F7F" w:rsidRPr="007311C3">
        <w:t>"</w:t>
      </w:r>
    </w:p>
    <w:p w:rsidR="000C4E40" w:rsidRPr="002F7F7F" w:rsidRDefault="006C4E13" w:rsidP="00A61320">
      <w:pPr>
        <w:pStyle w:val="a0"/>
        <w:jc w:val="both"/>
      </w:pPr>
      <w:r w:rsidRPr="002F7F7F">
        <w:t>Макарова С</w:t>
      </w:r>
      <w:r w:rsidR="002F7F7F">
        <w:t xml:space="preserve">.А. </w:t>
      </w:r>
      <w:r w:rsidR="000C4E40" w:rsidRPr="002F7F7F">
        <w:t>Рын</w:t>
      </w:r>
      <w:r w:rsidRPr="002F7F7F">
        <w:t>ок ценных бумаг и биржевое дело</w:t>
      </w:r>
      <w:r w:rsidR="002F7F7F" w:rsidRPr="002F7F7F">
        <w:t xml:space="preserve">. - </w:t>
      </w:r>
      <w:r w:rsidRPr="002F7F7F">
        <w:t>Санкт-Петербург</w:t>
      </w:r>
      <w:r w:rsidR="002F7F7F" w:rsidRPr="002F7F7F">
        <w:t xml:space="preserve">: </w:t>
      </w:r>
      <w:r w:rsidRPr="002F7F7F">
        <w:t>СпецЛит, 2002</w:t>
      </w:r>
      <w:r w:rsidR="002F7F7F" w:rsidRPr="002F7F7F">
        <w:t xml:space="preserve">. </w:t>
      </w:r>
    </w:p>
    <w:p w:rsidR="009B5C52" w:rsidRPr="002F7F7F" w:rsidRDefault="006C4E13" w:rsidP="00A61320">
      <w:pPr>
        <w:pStyle w:val="a0"/>
        <w:jc w:val="both"/>
      </w:pPr>
      <w:r w:rsidRPr="002F7F7F">
        <w:t>Миркин Я</w:t>
      </w:r>
      <w:r w:rsidR="002F7F7F">
        <w:t xml:space="preserve">.И. </w:t>
      </w:r>
      <w:r w:rsidR="009B5C52" w:rsidRPr="002F7F7F">
        <w:t>Ценные бумаги и фондовый рынок</w:t>
      </w:r>
      <w:r w:rsidR="002F7F7F" w:rsidRPr="002F7F7F">
        <w:t xml:space="preserve"> - </w:t>
      </w:r>
      <w:r w:rsidRPr="002F7F7F">
        <w:t>М</w:t>
      </w:r>
      <w:r w:rsidR="002F7F7F" w:rsidRPr="002F7F7F">
        <w:t>.,</w:t>
      </w:r>
      <w:r w:rsidRPr="002F7F7F">
        <w:t xml:space="preserve"> Издательство "Перспектива", 2000</w:t>
      </w:r>
      <w:r w:rsidR="002F7F7F" w:rsidRPr="002F7F7F">
        <w:t xml:space="preserve">. </w:t>
      </w:r>
    </w:p>
    <w:p w:rsidR="009B5C52" w:rsidRPr="002F7F7F" w:rsidRDefault="009B5C52" w:rsidP="00A61320">
      <w:pPr>
        <w:pStyle w:val="a0"/>
        <w:jc w:val="both"/>
      </w:pPr>
      <w:r w:rsidRPr="002F7F7F">
        <w:rPr>
          <w:rStyle w:val="authorpr"/>
        </w:rPr>
        <w:t>Головцов А</w:t>
      </w:r>
      <w:r w:rsidR="002F7F7F" w:rsidRPr="002F7F7F">
        <w:rPr>
          <w:rStyle w:val="authorpr"/>
        </w:rPr>
        <w:t>.,</w:t>
      </w:r>
      <w:r w:rsidRPr="002F7F7F">
        <w:rPr>
          <w:rStyle w:val="authorpr"/>
        </w:rPr>
        <w:t xml:space="preserve"> Гайдаев В</w:t>
      </w:r>
      <w:r w:rsidR="002F7F7F" w:rsidRPr="002F7F7F">
        <w:rPr>
          <w:rStyle w:val="authorpr"/>
        </w:rPr>
        <w:t xml:space="preserve">. </w:t>
      </w:r>
      <w:r w:rsidRPr="002F7F7F">
        <w:rPr>
          <w:rStyle w:val="authorpr"/>
        </w:rPr>
        <w:t>Массовое вовлечение</w:t>
      </w:r>
      <w:r w:rsidR="002F7F7F" w:rsidRPr="002F7F7F">
        <w:rPr>
          <w:rStyle w:val="authorpr"/>
        </w:rPr>
        <w:t xml:space="preserve">. // </w:t>
      </w:r>
      <w:r w:rsidR="00B30152" w:rsidRPr="002F7F7F">
        <w:rPr>
          <w:rStyle w:val="authorpr"/>
        </w:rPr>
        <w:t>Коммерсан</w:t>
      </w:r>
      <w:r w:rsidR="00544707" w:rsidRPr="002F7F7F">
        <w:rPr>
          <w:rStyle w:val="authorpr"/>
        </w:rPr>
        <w:t>тъ-Деньги</w:t>
      </w:r>
      <w:r w:rsidRPr="002F7F7F">
        <w:rPr>
          <w:rStyle w:val="authorpr"/>
        </w:rPr>
        <w:t>-</w:t>
      </w:r>
      <w:r w:rsidR="00B30152" w:rsidRPr="002F7F7F">
        <w:rPr>
          <w:rStyle w:val="authorpr"/>
        </w:rPr>
        <w:t>2006</w:t>
      </w:r>
      <w:r w:rsidR="002F7F7F">
        <w:rPr>
          <w:rStyle w:val="authorpr"/>
        </w:rPr>
        <w:t>.1</w:t>
      </w:r>
      <w:r w:rsidR="00B30152" w:rsidRPr="002F7F7F">
        <w:rPr>
          <w:rStyle w:val="authorpr"/>
        </w:rPr>
        <w:t>0</w:t>
      </w:r>
      <w:r w:rsidR="002F7F7F" w:rsidRPr="002F7F7F">
        <w:rPr>
          <w:rStyle w:val="authorpr"/>
        </w:rPr>
        <w:t xml:space="preserve">. - </w:t>
      </w:r>
      <w:r w:rsidR="00B30152" w:rsidRPr="002F7F7F">
        <w:rPr>
          <w:rStyle w:val="authorpr"/>
        </w:rPr>
        <w:t>С</w:t>
      </w:r>
      <w:r w:rsidR="002F7F7F">
        <w:rPr>
          <w:rStyle w:val="authorpr"/>
        </w:rPr>
        <w:t>.1</w:t>
      </w:r>
      <w:r w:rsidR="00B30152" w:rsidRPr="002F7F7F">
        <w:rPr>
          <w:rStyle w:val="authorpr"/>
        </w:rPr>
        <w:t>5</w:t>
      </w:r>
      <w:r w:rsidR="002F7F7F" w:rsidRPr="002F7F7F">
        <w:rPr>
          <w:rStyle w:val="authorpr"/>
        </w:rPr>
        <w:t xml:space="preserve">. </w:t>
      </w:r>
    </w:p>
    <w:p w:rsidR="009B5C52" w:rsidRPr="002F7F7F" w:rsidRDefault="009B5C52" w:rsidP="00A61320">
      <w:pPr>
        <w:pStyle w:val="a0"/>
        <w:jc w:val="both"/>
        <w:rPr>
          <w:lang w:val="en-US"/>
        </w:rPr>
      </w:pPr>
      <w:r w:rsidRPr="007311C3">
        <w:rPr>
          <w:lang w:val="en-US"/>
        </w:rPr>
        <w:t>www</w:t>
      </w:r>
      <w:r w:rsidR="002F7F7F" w:rsidRPr="007311C3">
        <w:rPr>
          <w:lang w:val="en-US"/>
        </w:rPr>
        <w:t xml:space="preserve">. </w:t>
      </w:r>
      <w:r w:rsidRPr="007311C3">
        <w:rPr>
          <w:lang w:val="en-US"/>
        </w:rPr>
        <w:t>cit-funds</w:t>
      </w:r>
      <w:r w:rsidR="002F7F7F" w:rsidRPr="007311C3">
        <w:rPr>
          <w:lang w:val="en-US"/>
        </w:rPr>
        <w:t xml:space="preserve">. </w:t>
      </w:r>
      <w:r w:rsidRPr="007311C3">
        <w:rPr>
          <w:lang w:val="en-US"/>
        </w:rPr>
        <w:t>ru</w:t>
      </w:r>
    </w:p>
    <w:p w:rsidR="009B5C52" w:rsidRPr="002F7F7F" w:rsidRDefault="009B5C52" w:rsidP="00A61320">
      <w:pPr>
        <w:pStyle w:val="a0"/>
        <w:jc w:val="both"/>
        <w:rPr>
          <w:lang w:val="en-US"/>
        </w:rPr>
      </w:pPr>
      <w:r w:rsidRPr="002F7F7F">
        <w:rPr>
          <w:lang w:val="en-US"/>
        </w:rPr>
        <w:t>www</w:t>
      </w:r>
      <w:r w:rsidR="002F7F7F" w:rsidRPr="002F7F7F">
        <w:rPr>
          <w:lang w:val="en-US"/>
        </w:rPr>
        <w:t xml:space="preserve">. </w:t>
      </w:r>
      <w:r w:rsidRPr="002F7F7F">
        <w:rPr>
          <w:lang w:val="en-US"/>
        </w:rPr>
        <w:t>bcs</w:t>
      </w:r>
      <w:r w:rsidR="002F7F7F" w:rsidRPr="002F7F7F">
        <w:rPr>
          <w:lang w:val="en-US"/>
        </w:rPr>
        <w:t xml:space="preserve">. </w:t>
      </w:r>
      <w:r w:rsidRPr="002F7F7F">
        <w:rPr>
          <w:lang w:val="en-US"/>
        </w:rPr>
        <w:t>ru</w:t>
      </w:r>
    </w:p>
    <w:p w:rsidR="002A5F8F" w:rsidRDefault="002A5F8F" w:rsidP="002F7F7F">
      <w:pPr>
        <w:widowControl w:val="0"/>
        <w:autoSpaceDE w:val="0"/>
        <w:autoSpaceDN w:val="0"/>
        <w:adjustRightInd w:val="0"/>
        <w:rPr>
          <w:lang w:val="uk-UA"/>
        </w:rPr>
      </w:pPr>
    </w:p>
    <w:p w:rsidR="00686429" w:rsidRPr="00686429" w:rsidRDefault="00686429" w:rsidP="002F7F7F">
      <w:pPr>
        <w:widowControl w:val="0"/>
        <w:autoSpaceDE w:val="0"/>
        <w:autoSpaceDN w:val="0"/>
        <w:adjustRightInd w:val="0"/>
        <w:rPr>
          <w:lang w:val="uk-UA"/>
        </w:rPr>
        <w:sectPr w:rsidR="00686429" w:rsidRPr="00686429" w:rsidSect="002F7F7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"/>
        <w:gridCol w:w="2204"/>
        <w:gridCol w:w="1928"/>
        <w:gridCol w:w="1226"/>
        <w:gridCol w:w="1050"/>
        <w:gridCol w:w="1050"/>
        <w:gridCol w:w="1577"/>
        <w:gridCol w:w="1050"/>
        <w:gridCol w:w="614"/>
        <w:gridCol w:w="1056"/>
        <w:gridCol w:w="2271"/>
      </w:tblGrid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Место</w:t>
            </w:r>
          </w:p>
        </w:tc>
        <w:tc>
          <w:tcPr>
            <w:tcW w:w="7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Название</w:t>
            </w:r>
          </w:p>
        </w:tc>
        <w:tc>
          <w:tcPr>
            <w:tcW w:w="6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Регион*</w:t>
            </w:r>
          </w:p>
        </w:tc>
        <w:tc>
          <w:tcPr>
            <w:tcW w:w="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Совокупный оборот (млн руб</w:t>
            </w:r>
            <w:r w:rsidR="002F7F7F" w:rsidRPr="002F7F7F">
              <w:t xml:space="preserve">) </w:t>
            </w:r>
          </w:p>
        </w:tc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Изм</w:t>
            </w:r>
            <w:r w:rsidR="002F7F7F" w:rsidRPr="002F7F7F">
              <w:t xml:space="preserve">. </w:t>
            </w:r>
            <w:r w:rsidRPr="002F7F7F">
              <w:t>за год (%</w:t>
            </w:r>
            <w:r w:rsidR="002F7F7F" w:rsidRPr="002F7F7F">
              <w:t xml:space="preserve">) </w:t>
            </w:r>
          </w:p>
        </w:tc>
        <w:tc>
          <w:tcPr>
            <w:tcW w:w="14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Доля оборота по ценным бумагам (%</w:t>
            </w:r>
            <w:r w:rsidR="002F7F7F" w:rsidRPr="002F7F7F">
              <w:t xml:space="preserve">) 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Доля биржевого оборота (%</w:t>
            </w:r>
            <w:r w:rsidR="002F7F7F" w:rsidRPr="002F7F7F">
              <w:t xml:space="preserve">) </w:t>
            </w:r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7F7F" w:rsidRPr="002F7F7F" w:rsidRDefault="002F7F7F" w:rsidP="00686429">
            <w:pPr>
              <w:pStyle w:val="af8"/>
            </w:pPr>
            <w:r w:rsidRPr="002F7F7F">
              <w:t xml:space="preserve"> </w:t>
            </w:r>
            <w:r w:rsidR="002A5F8F" w:rsidRPr="002F7F7F">
              <w:t xml:space="preserve">Число </w:t>
            </w:r>
          </w:p>
          <w:p w:rsidR="002A5F8F" w:rsidRPr="002F7F7F" w:rsidRDefault="002A5F8F" w:rsidP="00686429">
            <w:pPr>
              <w:pStyle w:val="af8"/>
            </w:pPr>
            <w:r w:rsidRPr="002F7F7F">
              <w:t>клиентов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7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6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Акции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Облигации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Векселя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Паи</w:t>
            </w: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7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"Брокеркредитсервис"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Новосибирская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2065441,3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+475,5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99,93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0,06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0,01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27,2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17476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обл</w:t>
            </w:r>
            <w:r w:rsidR="002F7F7F" w:rsidRPr="002F7F7F">
              <w:t xml:space="preserve">.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"КИТ-Финанс"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Санкт-Петербург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1617524,8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+424,8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58,18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41,82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0,00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43,3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1819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3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ГК "Тройка Диалог"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Москва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1016964,3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+216,6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81,42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18,58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78,0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н</w:t>
            </w:r>
            <w:r w:rsidR="002F7F7F" w:rsidRPr="002F7F7F">
              <w:t xml:space="preserve">. </w:t>
            </w:r>
            <w:r w:rsidRPr="002F7F7F">
              <w:t>д</w:t>
            </w:r>
            <w:r w:rsidR="002F7F7F" w:rsidRPr="002F7F7F">
              <w:t xml:space="preserve">.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4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ГК "Ист Кэпитал"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Москва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471795,4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+152,1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96,59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1,37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2,03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0,01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26,3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247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5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"Атон"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Москва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469106,1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+114,8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94,31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5,64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0,04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91,9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5771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6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ОФГ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Москва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421765,4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+119,4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н</w:t>
            </w:r>
            <w:r w:rsidR="002F7F7F" w:rsidRPr="002F7F7F">
              <w:t xml:space="preserve">. </w:t>
            </w:r>
            <w:r w:rsidRPr="002F7F7F">
              <w:t>д</w:t>
            </w:r>
            <w:r w:rsidR="002F7F7F" w:rsidRPr="002F7F7F">
              <w:t xml:space="preserve">.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н</w:t>
            </w:r>
            <w:r w:rsidR="002F7F7F" w:rsidRPr="002F7F7F">
              <w:t xml:space="preserve">. </w:t>
            </w:r>
            <w:r w:rsidRPr="002F7F7F">
              <w:t>д</w:t>
            </w:r>
            <w:r w:rsidR="002F7F7F" w:rsidRPr="002F7F7F">
              <w:t xml:space="preserve">.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41,1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>н</w:t>
            </w:r>
            <w:r w:rsidR="002F7F7F" w:rsidRPr="002F7F7F">
              <w:t xml:space="preserve">. </w:t>
            </w:r>
            <w:r w:rsidRPr="002F7F7F">
              <w:t>д</w:t>
            </w:r>
            <w:r w:rsidR="002F7F7F" w:rsidRPr="002F7F7F">
              <w:t xml:space="preserve">.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7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ИК "Финам"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Москва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372535,0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+237,3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99,71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0,07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0,22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0,00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93,4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12792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8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ГК "Регион"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Москва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304295,6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+155,2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7,16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22,41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70,38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0,05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28,6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673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ИК "Велес Капитал"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Москва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297784,3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+62,4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1,98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19,76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78,26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19,6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229 </w:t>
            </w:r>
          </w:p>
        </w:tc>
      </w:tr>
      <w:tr w:rsidR="002A5F8F" w:rsidRPr="002F7F7F" w:rsidTr="0068642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10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БД "Открытие"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Москва 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297393,5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+44,7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98,01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1,90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F7F7F" w:rsidP="00686429">
            <w:pPr>
              <w:pStyle w:val="af8"/>
            </w:pPr>
            <w:r>
              <w:t xml:space="preserve"> - 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0,00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94,6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5F8F" w:rsidRPr="002F7F7F" w:rsidRDefault="002A5F8F" w:rsidP="00686429">
            <w:pPr>
              <w:pStyle w:val="af8"/>
            </w:pPr>
            <w:r w:rsidRPr="002F7F7F">
              <w:t xml:space="preserve">3022 </w:t>
            </w:r>
          </w:p>
        </w:tc>
      </w:tr>
    </w:tbl>
    <w:p w:rsidR="006103DC" w:rsidRPr="002F7F7F" w:rsidRDefault="006103DC" w:rsidP="002F7F7F">
      <w:pPr>
        <w:widowControl w:val="0"/>
        <w:autoSpaceDE w:val="0"/>
        <w:autoSpaceDN w:val="0"/>
        <w:adjustRightInd w:val="0"/>
        <w:rPr>
          <w:color w:val="000000"/>
        </w:rPr>
      </w:pPr>
    </w:p>
    <w:p w:rsidR="002F7F7F" w:rsidRDefault="00B83BA2" w:rsidP="002F7F7F">
      <w:pPr>
        <w:widowControl w:val="0"/>
        <w:autoSpaceDE w:val="0"/>
        <w:autoSpaceDN w:val="0"/>
        <w:adjustRightInd w:val="0"/>
        <w:rPr>
          <w:color w:val="000000"/>
        </w:rPr>
      </w:pPr>
      <w:r w:rsidRPr="002F7F7F">
        <w:rPr>
          <w:color w:val="000000"/>
        </w:rPr>
        <w:t>*Субброкеры предоставляют брокерские услуги своим клиентам через брокера</w:t>
      </w:r>
      <w:r w:rsidR="002F7F7F" w:rsidRPr="002F7F7F">
        <w:rPr>
          <w:color w:val="000000"/>
        </w:rPr>
        <w:t xml:space="preserve">. </w:t>
      </w:r>
      <w:r w:rsidRPr="002F7F7F">
        <w:rPr>
          <w:color w:val="000000"/>
        </w:rPr>
        <w:t>Субброкер не имеет прямого доступа на биржу</w:t>
      </w:r>
      <w:r w:rsidR="002F7F7F" w:rsidRPr="002F7F7F">
        <w:rPr>
          <w:color w:val="000000"/>
        </w:rPr>
        <w:t xml:space="preserve">. </w:t>
      </w:r>
      <w:r w:rsidRPr="002F7F7F">
        <w:rPr>
          <w:color w:val="000000"/>
        </w:rPr>
        <w:t>Субброкер</w:t>
      </w:r>
      <w:r w:rsidR="002F7F7F" w:rsidRPr="002F7F7F">
        <w:rPr>
          <w:color w:val="000000"/>
        </w:rPr>
        <w:t xml:space="preserve"> </w:t>
      </w:r>
      <w:r w:rsidRPr="002F7F7F">
        <w:rPr>
          <w:color w:val="000000"/>
        </w:rPr>
        <w:t>предоставляет клиентам услуги интернет-трейдинга, провайдером которых является брокер</w:t>
      </w:r>
      <w:r w:rsidR="002F7F7F" w:rsidRPr="002F7F7F">
        <w:rPr>
          <w:color w:val="000000"/>
        </w:rPr>
        <w:t xml:space="preserve">. </w:t>
      </w:r>
      <w:r w:rsidRPr="002F7F7F">
        <w:rPr>
          <w:color w:val="000000"/>
        </w:rPr>
        <w:t>Субброкер</w:t>
      </w:r>
      <w:r w:rsidR="002F7F7F" w:rsidRPr="002F7F7F">
        <w:rPr>
          <w:color w:val="000000"/>
        </w:rPr>
        <w:t xml:space="preserve"> - </w:t>
      </w:r>
      <w:r w:rsidRPr="002F7F7F">
        <w:rPr>
          <w:color w:val="000000"/>
        </w:rPr>
        <w:t>профессиональный участник фондового рынка</w:t>
      </w:r>
      <w:r w:rsidR="002F7F7F" w:rsidRPr="002F7F7F">
        <w:rPr>
          <w:color w:val="000000"/>
        </w:rPr>
        <w:t xml:space="preserve"> - </w:t>
      </w:r>
      <w:r w:rsidRPr="002F7F7F">
        <w:rPr>
          <w:color w:val="000000"/>
        </w:rPr>
        <w:t>в свою очередь сам является клиентом брокера</w:t>
      </w:r>
      <w:r w:rsidR="002F7F7F" w:rsidRPr="002F7F7F">
        <w:rPr>
          <w:color w:val="000000"/>
        </w:rPr>
        <w:t xml:space="preserve">. </w:t>
      </w:r>
      <w:r w:rsidRPr="002F7F7F">
        <w:rPr>
          <w:color w:val="000000"/>
        </w:rPr>
        <w:t>Современная технология интернет-трейдинга позволяет выстроить такую схему работы</w:t>
      </w:r>
      <w:r w:rsidR="002F7F7F" w:rsidRPr="002F7F7F">
        <w:rPr>
          <w:color w:val="000000"/>
        </w:rPr>
        <w:t xml:space="preserve">: </w:t>
      </w:r>
      <w:r w:rsidRPr="002F7F7F">
        <w:rPr>
          <w:color w:val="000000"/>
        </w:rPr>
        <w:t>клиент</w:t>
      </w:r>
      <w:r w:rsidR="002F7F7F" w:rsidRPr="002F7F7F">
        <w:rPr>
          <w:color w:val="000000"/>
        </w:rPr>
        <w:t xml:space="preserve"> - </w:t>
      </w:r>
      <w:r w:rsidRPr="002F7F7F">
        <w:rPr>
          <w:color w:val="000000"/>
        </w:rPr>
        <w:t>субброкер</w:t>
      </w:r>
      <w:r w:rsidR="002F7F7F" w:rsidRPr="002F7F7F">
        <w:rPr>
          <w:color w:val="000000"/>
        </w:rPr>
        <w:t xml:space="preserve"> - </w:t>
      </w:r>
      <w:r w:rsidRPr="002F7F7F">
        <w:rPr>
          <w:color w:val="000000"/>
        </w:rPr>
        <w:t>брокер</w:t>
      </w:r>
      <w:r w:rsidR="002F7F7F" w:rsidRPr="002F7F7F">
        <w:rPr>
          <w:color w:val="000000"/>
        </w:rPr>
        <w:t xml:space="preserve"> - </w:t>
      </w:r>
      <w:r w:rsidRPr="002F7F7F">
        <w:rPr>
          <w:color w:val="000000"/>
        </w:rPr>
        <w:t>биржа</w:t>
      </w:r>
      <w:r w:rsidR="002F7F7F" w:rsidRPr="002F7F7F">
        <w:rPr>
          <w:color w:val="000000"/>
        </w:rPr>
        <w:t xml:space="preserve">. </w:t>
      </w:r>
      <w:bookmarkStart w:id="0" w:name="_GoBack"/>
      <w:bookmarkEnd w:id="0"/>
    </w:p>
    <w:sectPr w:rsidR="002F7F7F" w:rsidSect="00686429">
      <w:pgSz w:w="16838" w:h="11906" w:orient="landscape"/>
      <w:pgMar w:top="1701" w:right="1134" w:bottom="851" w:left="1134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13" w:rsidRDefault="0089131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891313" w:rsidRDefault="0089131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7F" w:rsidRDefault="002F7F7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7F" w:rsidRDefault="002F7F7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13" w:rsidRDefault="0089131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891313" w:rsidRDefault="0089131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7F" w:rsidRDefault="007311C3" w:rsidP="004B7873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F7F7F" w:rsidRDefault="002F7F7F" w:rsidP="002F7F7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7F" w:rsidRDefault="002F7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3D1AB5"/>
    <w:multiLevelType w:val="hybridMultilevel"/>
    <w:tmpl w:val="1A36E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E74098"/>
    <w:multiLevelType w:val="multilevel"/>
    <w:tmpl w:val="8D88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2178F"/>
    <w:multiLevelType w:val="multilevel"/>
    <w:tmpl w:val="E488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A49"/>
    <w:rsid w:val="00012ED7"/>
    <w:rsid w:val="000C4E40"/>
    <w:rsid w:val="0013475E"/>
    <w:rsid w:val="001B1927"/>
    <w:rsid w:val="00206DBE"/>
    <w:rsid w:val="00246A49"/>
    <w:rsid w:val="002A5F8F"/>
    <w:rsid w:val="002D25C4"/>
    <w:rsid w:val="002F7F7F"/>
    <w:rsid w:val="003A574A"/>
    <w:rsid w:val="00402B98"/>
    <w:rsid w:val="004717CF"/>
    <w:rsid w:val="004B7873"/>
    <w:rsid w:val="005034A8"/>
    <w:rsid w:val="00544707"/>
    <w:rsid w:val="006103DC"/>
    <w:rsid w:val="00686429"/>
    <w:rsid w:val="00687396"/>
    <w:rsid w:val="006C4E13"/>
    <w:rsid w:val="006C54D8"/>
    <w:rsid w:val="007311C3"/>
    <w:rsid w:val="00891313"/>
    <w:rsid w:val="009B5C52"/>
    <w:rsid w:val="009F0ED0"/>
    <w:rsid w:val="00A13421"/>
    <w:rsid w:val="00A61320"/>
    <w:rsid w:val="00B30152"/>
    <w:rsid w:val="00B70D91"/>
    <w:rsid w:val="00B83BA2"/>
    <w:rsid w:val="00DA357A"/>
    <w:rsid w:val="00E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69D8FD-3D4F-4502-B636-5AE6166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F7F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F7F7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F7F7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F7F7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F7F7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F7F7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F7F7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F7F7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F7F7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F7F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F7F7F"/>
    <w:rPr>
      <w:vertAlign w:val="superscript"/>
    </w:rPr>
  </w:style>
  <w:style w:type="paragraph" w:customStyle="1" w:styleId="Normal1">
    <w:name w:val="Normal1"/>
    <w:uiPriority w:val="99"/>
    <w:rsid w:val="00206DBE"/>
    <w:pPr>
      <w:widowControl w:val="0"/>
    </w:pPr>
    <w:rPr>
      <w:sz w:val="28"/>
      <w:szCs w:val="28"/>
    </w:rPr>
  </w:style>
  <w:style w:type="character" w:styleId="aa">
    <w:name w:val="Strong"/>
    <w:uiPriority w:val="99"/>
    <w:qFormat/>
    <w:rsid w:val="00206DBE"/>
    <w:rPr>
      <w:b/>
      <w:bCs/>
    </w:rPr>
  </w:style>
  <w:style w:type="paragraph" w:styleId="ab">
    <w:name w:val="Normal (Web)"/>
    <w:basedOn w:val="a2"/>
    <w:uiPriority w:val="99"/>
    <w:rsid w:val="002F7F7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rsid w:val="002F7F7F"/>
    <w:rPr>
      <w:color w:val="0000FF"/>
      <w:u w:val="single"/>
    </w:rPr>
  </w:style>
  <w:style w:type="character" w:customStyle="1" w:styleId="moreorange">
    <w:name w:val="moreorange"/>
    <w:uiPriority w:val="99"/>
    <w:rsid w:val="006103DC"/>
  </w:style>
  <w:style w:type="paragraph" w:customStyle="1" w:styleId="j">
    <w:name w:val="j"/>
    <w:basedOn w:val="a2"/>
    <w:uiPriority w:val="99"/>
    <w:rsid w:val="006103DC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indent">
    <w:name w:val="indent"/>
    <w:basedOn w:val="a2"/>
    <w:uiPriority w:val="99"/>
    <w:rsid w:val="0013475E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paragraph" w:styleId="31">
    <w:name w:val="Body Text 3"/>
    <w:basedOn w:val="a2"/>
    <w:link w:val="32"/>
    <w:uiPriority w:val="99"/>
    <w:rsid w:val="00B83BA2"/>
    <w:pPr>
      <w:widowControl w:val="0"/>
      <w:autoSpaceDE w:val="0"/>
      <w:autoSpaceDN w:val="0"/>
      <w:adjustRightInd w:val="0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customStyle="1" w:styleId="authorpr">
    <w:name w:val="author_pr"/>
    <w:uiPriority w:val="99"/>
    <w:rsid w:val="009B5C52"/>
  </w:style>
  <w:style w:type="paragraph" w:styleId="a7">
    <w:name w:val="Body Text"/>
    <w:basedOn w:val="a2"/>
    <w:link w:val="ad"/>
    <w:uiPriority w:val="99"/>
    <w:rsid w:val="002F7F7F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F7F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2F7F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F7F7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2F7F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2F7F7F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2F7F7F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2F7F7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F7F7F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F7F7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F7F7F"/>
    <w:pPr>
      <w:numPr>
        <w:numId w:val="4"/>
      </w:numPr>
      <w:spacing w:line="360" w:lineRule="auto"/>
    </w:pPr>
    <w:rPr>
      <w:sz w:val="28"/>
      <w:szCs w:val="28"/>
    </w:rPr>
  </w:style>
  <w:style w:type="character" w:styleId="af6">
    <w:name w:val="page number"/>
    <w:uiPriority w:val="99"/>
    <w:rsid w:val="002F7F7F"/>
  </w:style>
  <w:style w:type="character" w:customStyle="1" w:styleId="af7">
    <w:name w:val="номер страницы"/>
    <w:uiPriority w:val="99"/>
    <w:rsid w:val="002F7F7F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F7F7F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2F7F7F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F7F7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F7F7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F7F7F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2F7F7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2F7F7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2F7F7F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F7F7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F7F7F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F7F7F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F7F7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F7F7F"/>
    <w:rPr>
      <w:i/>
      <w:iCs/>
    </w:rPr>
  </w:style>
  <w:style w:type="paragraph" w:customStyle="1" w:styleId="af8">
    <w:name w:val="ТАБЛИЦА"/>
    <w:next w:val="a2"/>
    <w:autoRedefine/>
    <w:uiPriority w:val="99"/>
    <w:rsid w:val="002F7F7F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2F7F7F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2F7F7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2F7F7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2F7F7F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2F7F7F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2F7F7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Сама по себе</Company>
  <LinksUpToDate>false</LinksUpToDate>
  <CharactersWithSpaces>23989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Кэт</dc:creator>
  <cp:keywords/>
  <dc:description/>
  <cp:lastModifiedBy>admin</cp:lastModifiedBy>
  <cp:revision>2</cp:revision>
  <dcterms:created xsi:type="dcterms:W3CDTF">2014-03-20T05:42:00Z</dcterms:created>
  <dcterms:modified xsi:type="dcterms:W3CDTF">2014-03-20T05:42:00Z</dcterms:modified>
</cp:coreProperties>
</file>