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27F4" w:rsidRDefault="00AA27F4">
      <w:pPr>
        <w:pStyle w:val="Mystyle"/>
        <w:jc w:val="center"/>
        <w:rPr>
          <w:b/>
          <w:bCs/>
          <w:sz w:val="32"/>
          <w:szCs w:val="32"/>
        </w:rPr>
      </w:pPr>
      <w:r>
        <w:rPr>
          <w:b/>
          <w:bCs/>
          <w:sz w:val="32"/>
          <w:szCs w:val="32"/>
        </w:rPr>
        <w:t>Искусство древней Индии</w:t>
      </w:r>
    </w:p>
    <w:p w:rsidR="00AA27F4" w:rsidRDefault="00AA27F4">
      <w:pPr>
        <w:pStyle w:val="Mystyle"/>
      </w:pPr>
    </w:p>
    <w:p w:rsidR="00AA27F4" w:rsidRDefault="00AA27F4">
      <w:pPr>
        <w:pStyle w:val="Mystyle"/>
        <w:rPr>
          <w:b/>
          <w:bCs/>
          <w:sz w:val="28"/>
          <w:szCs w:val="28"/>
        </w:rPr>
      </w:pPr>
      <w:r>
        <w:rPr>
          <w:b/>
          <w:bCs/>
          <w:sz w:val="28"/>
          <w:szCs w:val="28"/>
        </w:rPr>
        <w:t>Литература</w:t>
      </w:r>
    </w:p>
    <w:p w:rsidR="00AA27F4" w:rsidRDefault="00AA27F4">
      <w:pPr>
        <w:pStyle w:val="Mystyle"/>
      </w:pPr>
    </w:p>
    <w:p w:rsidR="00AA27F4" w:rsidRDefault="00AA27F4">
      <w:pPr>
        <w:pStyle w:val="Mystyle"/>
      </w:pPr>
      <w:r>
        <w:t>Из того, что уже было сказано, ясно, что центральное место в древнеиндийской культуре принадлежит памятникам религиозной литературы. Древнейшие из них — веды — не только были поздно записаны, но и впоследствии передавались преимущественно от учителя к ученику в устной форме. При этом за многие столетия язык стал настолько отличаться от разговорного, что нередко заучивались наизусть обширные книги практически без всякого понимания их смысла. Сложившаяся среди брахманов сложная система запоминания и точного воспроизведения литературных текстов оказала значительное влияние на весь характер образования и науки в древней Индии.</w:t>
      </w:r>
    </w:p>
    <w:p w:rsidR="00AA27F4" w:rsidRDefault="00AA27F4">
      <w:pPr>
        <w:pStyle w:val="Mystyle"/>
      </w:pPr>
      <w:r>
        <w:t>Огромное внимание, которое уделялось точности передачи и истолкованию священных ведийских текстов, привело, в конечном счете, к появлению таких специальных дисциплин, как фонетика и этимология. На этой основе впоследствии развивалась древнеиндийская лингвистика. Определение времени для жертвоприношений требовало наблюдений за небесными светилами, а строительство сложных алтарей — познаний в геометрии. Так уже в поздневедийской литературе появились зачатки наук, хотя и весьма своеобразных и не совпадающих с современными не только по своим целям, но и по методам.</w:t>
      </w:r>
    </w:p>
    <w:p w:rsidR="00AA27F4" w:rsidRDefault="00AA27F4">
      <w:pPr>
        <w:pStyle w:val="Mystyle"/>
      </w:pPr>
      <w:r>
        <w:t>Наряду с ведийской оформлялась и эпическая традиция. В своем окончательном виде «Махабхарата» и «Рамаяна» стали подлинной энциклопедией индуизма и неисчерпаемой сокровищницей образов для поэтов и художников последующих времен. Эпос, можно сказать, и доныне бытует в устной форме, будучи доступен миллионам неграмотных индийцев и оказывая огромное воздействие на их мировоззрение. Ко второй половине I тысячелетия до н. э. относится формирование и буддийской литературы — Типитаки школы тхеравады. Сочинения других школ буддизма — «великой колесницы» — сохранились не полностью, иногда на санскрите, а большей частью в китайском, японском, тибетском переводах</w:t>
      </w:r>
      <w:r>
        <w:rPr>
          <w:rStyle w:val="ad"/>
        </w:rPr>
        <w:footnoteReference w:id="1"/>
      </w:r>
      <w:r>
        <w:t>.</w:t>
      </w:r>
    </w:p>
    <w:p w:rsidR="00AA27F4" w:rsidRDefault="00AA27F4">
      <w:pPr>
        <w:pStyle w:val="Mystyle"/>
      </w:pPr>
      <w:r>
        <w:t>Расцвет древнеиндийской культуры в первые века христианской эры выражается в развитии самых разнообразных светских жанров. Особо надо отметить санскритскую драму, предназначенную как для придворного, так и для городского театра. Огромной популярностью пользовался сборник басен «Панчатантра». Отдельные рассказы его нанизываются один на другой, будучи искусно вставлены в общую рамку. Арабский перевод «Панчатантры» известен под названием «Калила и Димна». Новеллы «Панчатантры» и самый способ построения литературного произведения оказали в средние века влияние на многие национальные литературы («Тысяча и одна ночь», «Декамерон» и др.).</w:t>
      </w:r>
    </w:p>
    <w:p w:rsidR="00AA27F4" w:rsidRDefault="00AA27F4">
      <w:pPr>
        <w:pStyle w:val="Mystyle"/>
      </w:pPr>
      <w:r>
        <w:t>Помимо поэтической лирики, поэм-панегириков и сборников дидактических афоризмов, нередко в стихотворной форме составлялись и научные трактаты, чтобы, таким образом, облегчить их запоминание и устную передачу. Большое количество стихов вошло и в трактат о политике — Артхашастру. Этот трактат ярко рисует придворные интриги, коварные провокации и тайные убийства. Главная цель политического искусства усматривается в подчинении окружающих территорий, и потому все соседние правители считаются потенциальными противниками, а соседи соседей — потенциальными союзниками «государя, стремящегося к завоеваниям».</w:t>
      </w:r>
    </w:p>
    <w:p w:rsidR="00AA27F4" w:rsidRDefault="00AA27F4">
      <w:pPr>
        <w:pStyle w:val="Mystyle"/>
      </w:pPr>
      <w:r>
        <w:t>Из произведений научной и дидактической литературы следует прежде всего упомянуть грамматику санскрита, составленную Панини примерно в IV в. до н. э. Заслуженной славой пользуется древнеиндийская философия, включавшая в себя несколько соперничавших школ. Основные философские тексты могут быть датированы первыми веками христианской эры, но в некоторых случаях можно предполагать длительную традицию развития той или иной школы во второй половине I тысячелетия до н. э. Особенно важны достижения индийцев в области логики и философии языка, заслуживают внимания также их атомистические теории. Впрочем, главной целью философии в древней Индии являлось не обобщение достижений естественных наук и расширение практических познаний, а интерпретация священных текстов и достижение религиозного спасения.</w:t>
      </w:r>
    </w:p>
    <w:p w:rsidR="00AA27F4" w:rsidRDefault="00AA27F4">
      <w:pPr>
        <w:pStyle w:val="Mystyle"/>
      </w:pPr>
      <w:r>
        <w:t> </w:t>
      </w:r>
    </w:p>
    <w:p w:rsidR="00AA27F4" w:rsidRDefault="00AA27F4">
      <w:pPr>
        <w:pStyle w:val="Mystyle"/>
        <w:rPr>
          <w:b/>
          <w:bCs/>
          <w:sz w:val="28"/>
          <w:szCs w:val="28"/>
        </w:rPr>
      </w:pPr>
      <w:bookmarkStart w:id="0" w:name="_Toc503072189"/>
      <w:r>
        <w:rPr>
          <w:b/>
          <w:bCs/>
          <w:sz w:val="28"/>
          <w:szCs w:val="28"/>
        </w:rPr>
        <w:t>Архитектура</w:t>
      </w:r>
      <w:bookmarkEnd w:id="0"/>
    </w:p>
    <w:p w:rsidR="00AA27F4" w:rsidRDefault="00AA27F4">
      <w:pPr>
        <w:pStyle w:val="Mystyle"/>
      </w:pPr>
    </w:p>
    <w:p w:rsidR="00AA27F4" w:rsidRDefault="00AA27F4">
      <w:pPr>
        <w:pStyle w:val="Mystyle"/>
      </w:pPr>
      <w:r>
        <w:t xml:space="preserve">Строительство из кирпича и камня начинается, в основном, в послемаурийскую эпоху. Сохранившиеся памятники связаны, прежде всего, с буддизмом (например, пещерные монастыри Западной Индии). Высеченные в скалах залы достигают площади примерно 500 кв. м при высоте около 15 м. Характерно их внутреннее оформление, воспроизводящее традиции деревянного зодчества (перекрытия и прочие элементы, излишние в постройках из камня и тем более в пещерах). </w:t>
      </w:r>
    </w:p>
    <w:p w:rsidR="00AA27F4" w:rsidRDefault="00AA27F4">
      <w:pPr>
        <w:pStyle w:val="Mystyle"/>
      </w:pPr>
      <w:r>
        <w:t>Из наземных построек самые значительные находятся в Санчи. Здесь на вершине большого холма, невдалеке от важного политического центра послемаурийской эпохи, был расположен огромный буддийский монастырь. От самого монастыря и гостиницы для паломников сохранилось немногое. А главной достопримечательностью Санчи является большая ступа, сооруженная во II — I вв. до н. э. С четырех сторон света ее окружают резные каменные ворота с изображением сцен из буддийских легенд. Каменные ступы являются непременной принадлежностью и пещерных храмов, будучи вообще самыми характерными памятниками буддийской архитектуры. Наиболее крупная ступа на Ланке по размерам сопоставима с египетскими пирамидами.</w:t>
      </w:r>
    </w:p>
    <w:p w:rsidR="00AA27F4" w:rsidRDefault="00AA27F4">
      <w:pPr>
        <w:pStyle w:val="Mystyle"/>
      </w:pPr>
      <w:r>
        <w:t>Едва ли не древнейшими памятниками индийской культуры (конечно, если не говорить о периоде Индской цивилизации) являются колонны, на которых высечены надписи Ашоки. Все колонны были изготовлены из камня, добытого в окрестностях Варанаси, тщательно отполированы и доставлены в отдаленные области Маурийской державы. Скульптура, венчающая колонну, например знаменитые львы, обнаруживает известное влияние персидского и, возможно, греческого искусства. Объясняется это, очевидно, тем, что индийские мастера в то время еще не привыкли работать по камню.</w:t>
      </w:r>
    </w:p>
    <w:p w:rsidR="00AA27F4" w:rsidRDefault="00AA27F4">
      <w:pPr>
        <w:pStyle w:val="Mystyle"/>
      </w:pPr>
      <w:r>
        <w:t> </w:t>
      </w:r>
    </w:p>
    <w:p w:rsidR="00AA27F4" w:rsidRDefault="00AA27F4">
      <w:pPr>
        <w:pStyle w:val="Mystyle"/>
        <w:rPr>
          <w:b/>
          <w:bCs/>
          <w:sz w:val="28"/>
          <w:szCs w:val="28"/>
        </w:rPr>
      </w:pPr>
      <w:r>
        <w:rPr>
          <w:b/>
          <w:bCs/>
          <w:sz w:val="28"/>
          <w:szCs w:val="28"/>
        </w:rPr>
        <w:t>Скульптура и живопись</w:t>
      </w:r>
    </w:p>
    <w:p w:rsidR="00AA27F4" w:rsidRDefault="00AA27F4">
      <w:pPr>
        <w:pStyle w:val="Mystyle"/>
      </w:pPr>
    </w:p>
    <w:p w:rsidR="00AA27F4" w:rsidRDefault="00AA27F4">
      <w:pPr>
        <w:pStyle w:val="Mystyle"/>
      </w:pPr>
      <w:r>
        <w:t>В послемаурийскую эпоху сложились местные школы скульптуры. Наиболее известными являются школы Гандхары (Северо-Запад Индии), региона Матхуры (центральная часть Северной Индии) и одной из областей Декана (школа Амаравати).</w:t>
      </w:r>
    </w:p>
    <w:p w:rsidR="00AA27F4" w:rsidRDefault="00AA27F4">
      <w:pPr>
        <w:pStyle w:val="Mystyle"/>
      </w:pPr>
      <w:r>
        <w:t>Расцвет гандхарской школы, формировавшейся под сильным влиянием эллинистического и римского искусства, относится к первым векам христианской эры. Стиль Гандхары, начиная с эпохи Кушан, оказывал воздействие на буддийское искусство Центральной и Восточной Азии. В большей степени связаны с традициями изобразительного искусства Индии школы Матхуры и Амаравати. Именно на их основе развивалось средневековое искусство не только самой Индии, но, в известной мере, и стран Юго-Восточной Азии. Распространение буддизма «великой колесницы» способствовало появлению обширного пантеона святых-бодхисаттв. Массовые находки терракотовых статуэток говорят о широком спросе на произведения искусства, связанного с буддизмом.</w:t>
      </w:r>
    </w:p>
    <w:p w:rsidR="00AA27F4" w:rsidRDefault="00AA27F4">
      <w:pPr>
        <w:pStyle w:val="Mystyle"/>
      </w:pPr>
      <w:r>
        <w:t>Всемирно известные памятники индийской живописи находятся в Аджанте (Западная Индия). Пещерные храмы и монастыри Аджанты создавались в течение почти тысячи лет, начиная с послемаурийского времени. Стены некоторых залов покрыты яркими изображениями сцен из буддийских преданий. Замечательные фрагменты живописи, сходной с росписями Аджанты, находят и на Шри-Ланке. Несмотря на отсутствие политического единства, различие языков и верований народов Индии, эта страна в течение средних веков и нового времени сохраняла сложившееся в древности единство культуры. Господствующая в Индии религия — индуизм — освящала традиционность повседневного уклада жизни.</w:t>
      </w:r>
    </w:p>
    <w:p w:rsidR="00AA27F4" w:rsidRDefault="00AA27F4">
      <w:pPr>
        <w:pStyle w:val="Mystyle"/>
      </w:pPr>
      <w:r>
        <w:t>Влияние буддийской религии, литературы, философии и искусства прослеживается у многих народов средневекового Востока. Древнеиндийская медицина и математика славились во всем мире, а замечательные достижения в области лингвистики, логики, психологии лишь сейчас могут быть оценены по достоинству.</w:t>
      </w:r>
    </w:p>
    <w:p w:rsidR="00AA27F4" w:rsidRDefault="00AA27F4">
      <w:pPr>
        <w:pStyle w:val="Mystyle"/>
      </w:pPr>
    </w:p>
    <w:p w:rsidR="00AA27F4" w:rsidRDefault="00AA27F4">
      <w:pPr>
        <w:pStyle w:val="Mystyle"/>
      </w:pPr>
      <w:r>
        <w:t>Индийскую культуру можно сравнить с могучей рекой, которая берет начало высоко в Гималаях и продолжает свое течение среди лесов и равнин, садов и ферм, деревень и городов. В нее вливаются многочисленные притоки, меняются ее берега, но сама река остается неизменной. Индийской культуре в равной мере присущи единство и многообразие, приверженность традиции и восприимчивость к новому. За многовековую историю Индии пришлось немало пережить, ко многому приспособиться, ассимилировать элементы различных культур, но при этом она сумела сохранить свое древнее наследие</w:t>
      </w:r>
      <w:r>
        <w:rPr>
          <w:rStyle w:val="ad"/>
        </w:rPr>
        <w:footnoteReference w:id="2"/>
      </w:r>
      <w:r>
        <w:t xml:space="preserve">. </w:t>
      </w:r>
    </w:p>
    <w:p w:rsidR="00AA27F4" w:rsidRDefault="00AA27F4">
      <w:pPr>
        <w:pStyle w:val="Mystyle"/>
      </w:pPr>
      <w:r>
        <w:t xml:space="preserve">Необычайно разнообразны природа и климат страны; здесь живут многочисленные народности со своими верованиями, языками и культурой. Однако во всем присутствует неповторимый индийский колорит. Источник этого единства неуловим. Его можно почувствовать, но невозможно понять. В своей знаменитой книге «Открытие Индии» Джавахарлал Неру дал блестящий анализ единства и целостности индийской культуры, коренящихся в ее поразительном многообразии. </w:t>
      </w:r>
    </w:p>
    <w:p w:rsidR="00AA27F4" w:rsidRDefault="00AA27F4">
      <w:pPr>
        <w:pStyle w:val="Mystyle"/>
      </w:pPr>
      <w:r>
        <w:t>Уже памятники хараппской цивилизации (3000-1800 до н. э.) уже несут в себе те характерные черты, которые позже стали ассоциироваться с Индией и ее культурой. Подтверждением тому служат археологические находки в Хараппе и Мохенджо-Даро. Статуя мужчины, погруженного в размышление, свидетельствует о том, что уже в те времена была известна практика йоги. Гладкая поверхность торса и отсутствие мускульного напряжения наводят на мысль о древнеиндийской концепции внутренней энергии. Божество, изображенное на одной из глиняных печатей, имеет большое сходство с позднейшими изображениями Шивы. Браслеты, подобные тем, что украшают руки бронзовой танцовщицы, можно и сейчас купить в любой лавке. Новейшие исследования показали, что влияние хараппской культуры распространилось даже на отдаленные районы Северной и Западной Индии, а народности, жившие в бассейне Инда, поддерживали тесные контакты с дравидийской цивилизацией, существовавшей задолго до прихода в Индию ариев</w:t>
      </w:r>
      <w:r>
        <w:rPr>
          <w:rStyle w:val="ad"/>
        </w:rPr>
        <w:footnoteReference w:id="3"/>
      </w:r>
      <w:r>
        <w:t xml:space="preserve">. </w:t>
      </w:r>
    </w:p>
    <w:p w:rsidR="00AA27F4" w:rsidRDefault="00AA27F4">
      <w:pPr>
        <w:pStyle w:val="Mystyle"/>
      </w:pPr>
      <w:r>
        <w:t>Приблизительно между 2000 и 1600 г. до н. э. часть племен, принадлежавших к многочисленной группе ариев, или индоариев, переселились в Индию. Они говорили на санскрите и поклонялись богам, олицетворявшим стихийные силы природы: Индре-громовержцу, владыке атмосферы, богу жертвенного огня Агни и всеведущему Варуне, карающему богу-судии и божеству водной стихии. Гимны, посвященные этим и другим богам, составили четыре сборника — Веды. Древнейшим из них является Ригведа (1500-1200 до н. э.), для которой характерен поиск Высшей реальности, лежащей в основе всего многообразия жизни. Эта мысль развивается в диалогах упанишад (900-600 до н. э.). Ведическую поэзию отличают одухотворенность, превосходный стиль и движение от внешней формулы к внутреннему переживанию</w:t>
      </w:r>
      <w:r>
        <w:rPr>
          <w:rStyle w:val="ad"/>
        </w:rPr>
        <w:footnoteReference w:id="4"/>
      </w:r>
      <w:r>
        <w:t xml:space="preserve">. Вне ведической (индуистской) традиции в 6 в. до н. э. возникли две другие религии. Личность Будды с его проповедью любви, сострадания и гармонии оказала огромное воздействие на развитие индийской философии и культуры, хотя в качестве религии буддизм пустил более глубокие корни за пределами Индии. Основателем джайнизма был Махавира, в учении которого развиваются идеи освобождения и отказа от любого насилия. Джайны тоже внесли большой вклад в развитие индийского искусства и философии. </w:t>
      </w:r>
    </w:p>
    <w:p w:rsidR="00AA27F4" w:rsidRDefault="00AA27F4">
      <w:pPr>
        <w:pStyle w:val="Mystyle"/>
      </w:pPr>
      <w:r>
        <w:t xml:space="preserve">В 326 г. до н. э. Александр Македонский форсировал Инд, и хотя вскоре он повернул свои войска назад, греческое вторжение стало важным фактором сближения Индии с греко-римским миром. Шесть лет спустя царь Чандрагупта, основатель династии Маурьев, сделал попытку объединить разрозненные индийские княжества в централизованную империю со столицей в Паталипутре (ныне Патна, штат Бихар). Его внук Ашока (273-237 до н. э.), проникшись отвращением к войне, стал ревностным буддистом. По его указанию на гладкой поверхности каменных колонн высекались буддийские изречения, призывавшие к состраданию и милосердию. Капители, завершающие колонны, представляют собой прекрасные образцы скульптуры. </w:t>
      </w:r>
    </w:p>
    <w:p w:rsidR="00AA27F4" w:rsidRDefault="00AA27F4">
      <w:pPr>
        <w:pStyle w:val="Mystyle"/>
      </w:pPr>
      <w:r>
        <w:t xml:space="preserve">Правители династии Шунги (185-149 до н. э.) были ортодоксальными индуистами, но при Канишке (династия Кушан), который правил на северо-западе Индии (78-101), произошло заметное возрождение буддизма. При Кушанах в буддийской скульптуре получил развитие гандхарский стиль, отмеченный заметным влиянием античности. Другим центром буддийского искусства стала Матаура, расположенная к югу от Дели. Во времена Гуптской империи (319- 540), которую называют «золотым веком» древнеиндийской культуры, политический и культурный центр снова переместился в Паталипутру. Некоторые цари гуптской династии, например Чандрагупта и Скандагупта, были поэтами и музыкантами. В царствование Чандрагупты жил величайший поэт и драматург, писавший на санскрите, — Калидаса. Шедеврами ваяния и живописи этой эпохи считаются скульптурные изображения Будды в Сарнатхе и фрески в пещерах Аджанты (Западная Индия). Закат империи Гуптов сопровождался политической раздробленностью. </w:t>
      </w:r>
    </w:p>
    <w:p w:rsidR="00AA27F4" w:rsidRDefault="00AA27F4">
      <w:pPr>
        <w:pStyle w:val="Mystyle"/>
      </w:pPr>
      <w:r>
        <w:t xml:space="preserve">Харша, правитель княжества Ка-наудж, попытался приостановить этот процесс, но после его смерти в 648 г. возникли независимые княжества в Кашмире, Бенгалии, Ориссе и многих других районах Северной и Южной Индии. В культурном отношении это был необычайно плодотворный период. Династии Чола, Паллавов и Раштракутов воздвигли великолепные храмы в Танд-жавуре, Махабалипураме и Эллоре. В XI в. построен храм Солнца в Конараке (штат Орисса) и храм Шивы в Каджурахо (Центральная Индия). Характерным элементом их архитектурного стиля является скульптура. В литературе; санскрит постепенно вытеснялся местными диалектами — бенгали, маратхи, хинди и панджаби. На юге Индии развивалась литературная традиция на тамили, телугу и каннада. Большое распространение получили такие религиозно-философские течения, как веданта, в частности учения Шанкары (VIII в.) и Рамануджи (XII в.). Наряду с этим в социальной и религиозной жизни существовали и консервативные тенденции. Система каст, первоначально связанная лишь с ролью человека в процессе производства, со временем стала жесткой и самодовлеющей. </w:t>
      </w:r>
    </w:p>
    <w:p w:rsidR="00AA27F4" w:rsidRDefault="00AA27F4">
      <w:pPr>
        <w:pStyle w:val="Mystyle"/>
      </w:pPr>
      <w:r>
        <w:t xml:space="preserve">Поворотным моментом в истории культуры Индии явилось установление в конце XII в. мусульманского владычества. Кардинальные различия между исламом и индуизмом неизбежно привели к конфликту между ними. Однако вскоре началось их примирение, чему способствовала близость веданты мистицизму суфиев. Многие мусульманские феодалы как в Дели, так и в провинциальных княжествах покровительствовали индийским литераторам и музыкантам и даже принимали участие в индуистских празднествах. Интеграционные процессы усилились после основания в 1526 г. империи Великих Моголов. В царствование Акбара (1556- 1605), политика которого отличалась мудростью и терпимостью, были заложены основы общенациональной культуры. </w:t>
      </w:r>
    </w:p>
    <w:p w:rsidR="00AA27F4" w:rsidRDefault="00AA27F4">
      <w:pPr>
        <w:pStyle w:val="Mystyle"/>
      </w:pPr>
      <w:r>
        <w:t xml:space="preserve">Стремительный закат империи Великих Моголов приходится на первую четверть XVIII в. С этого периода начинается вторжение в Индию европейцев: португальцев, голландцев, французов и, наконец, англичан. К концу XVIII в. Великобритания прочно утвердила здесь свое господство. Внедрение английской модели образования и деятельность христиан-миссионеров оказали огромное воздействие на культурную жизнь и религиозное самосознание индийцев. Новая столица, Калькутта, а вслед за ней Бомбей и Мадрас стали центрами западной цивилизации. Часть образованных индийцев, чрезмерно увлекшись европейской культурой, игнорировала свое национальное наследие. Тогда за духовное и культурное возрождение Индии стали ратовать представители реформаторского движения, основателем которого был Рам Мохан Рой. </w:t>
      </w:r>
    </w:p>
    <w:p w:rsidR="00AA27F4" w:rsidRDefault="00AA27F4">
      <w:pPr>
        <w:pStyle w:val="Mystyle"/>
      </w:pPr>
      <w:r>
        <w:t xml:space="preserve">Руководители этого движения, известного как Брахма Самадж, утверждали абсолютную истинность священных книг индуизма и ислама, не отвергая в то же время прогрессивной западной философской мысли. Еще одним источником духовного возрождения страны стало учение Рамакришны (1836-1886), проповедовавшего, что все вероучения - это лишь различные пути, ведущие к одной цели, а его знаменитый ученик Свами Вивекананда (1863-1902) вошел в историю как посланец индийской интеллектуальной культуры в Европе и Америке. </w:t>
      </w:r>
    </w:p>
    <w:p w:rsidR="00AA27F4" w:rsidRDefault="00AA27F4">
      <w:pPr>
        <w:pStyle w:val="Mystyle"/>
      </w:pPr>
      <w:r>
        <w:t xml:space="preserve">Несмотря на политический гнет, национальная индийская культура продолжала развиваться. Прозаики и драматурги второй половины XIX в. стали обращаться к политической, исторической и социальной тематике. Выдающийся поэт Галиб, писавший на урду, и бенгальский романист Банким Чаттерджи внесли огромный вклад в индийскую литературу. Традиции классической индийской музыки продолжили выдающиеся музыканты, в основном мусульмане. В Лакнау и Джайпуре сложилась школа индийского танца катхак. Позднее возникло движение за возрождение индийской живописи, во главе которого стояли Абааниндранат Тагор и другие художники «бенгальской школы». В Калькутте и Бомбее ставились пьесы на современные темы и на религиозно-мифологические сюжеты. </w:t>
      </w:r>
    </w:p>
    <w:p w:rsidR="00AA27F4" w:rsidRDefault="00AA27F4">
      <w:pPr>
        <w:pStyle w:val="Mystyle"/>
      </w:pPr>
      <w:r>
        <w:t xml:space="preserve">В этот период набирало силу движение за независимость под руководством партии Индийский национальный конгресс, созданной в 1885 г. Пробудившееся чувство патриотизма нашло отражение в литературных произведениях того времени. Возвращение Махатмы Ганди в Индию из Южной Африки, где он героически боролся против расизма, открыло новую страницу в истории страны. Учение Ганди затрагивало все аспекты жизни, но главный акцент в нем делался на общественно-политические вопросы. В своих стихах и романах крупнейшие писатели того времени — Баради на тамили, Премчанд на хинди, Сорат Чаттерджи на бенгали — выражали идеалы гандизма. В индийской культуре XX в. возвышается исполинская фигура Рабиндраната Тагора, одного из величайших поэтов и философов в истории человечества. </w:t>
      </w:r>
    </w:p>
    <w:p w:rsidR="00AA27F4" w:rsidRDefault="00AA27F4">
      <w:pPr>
        <w:pStyle w:val="Mystyle"/>
      </w:pPr>
      <w:r>
        <w:t>Его яркая индивидуальность и разносторонняя одаренность проявились во многих сферах искусства и литературы — поэзии, музыке, драме, романе, рассказе и даже живописи. Тагор был первым писателем Востока, удостоенным Нобелевской премии. Он основал университет Вишва-Бхарати и предвосхитил многие концепции современной системы образования. Целое поколение индийских писателей и художников испытало его влияние. Ганди и Тагор по праву считаются творцами современной Индии. 15 августа 1947 г. страна обрела независимость. Так, по словам Джавахарлала Неру, она «встретилась со своей судьбой». Религиозно-общинная рознь, раздел страны, последовавшее за ним кровопролитие и, наконец, убийство Махатмы Ганди были тяжелыми потрясениями, но Индия скоро оправилась от постигших ее несчастий и начала строить новую жизнь, заняв законное место в международной семье наций. Она достигла значительных успехов во многих сферах культурной жизни. Почти на всех четырнадцати официальных языках народов Индии появились превосходные литературные произведения. Среди художников, обогативших индийскую культуру в последние десятилетия, Рави Шанкар и Али Акбар в классической музыке, Джамини Рей и М. Ф. Хуссейн в живописи, Баласарасвати в классическом танце, Сатьяджит Рей в кинематографии</w:t>
      </w:r>
      <w:r>
        <w:rPr>
          <w:rStyle w:val="ad"/>
        </w:rPr>
        <w:footnoteReference w:id="5"/>
      </w:r>
      <w:r>
        <w:t xml:space="preserve">. </w:t>
      </w:r>
    </w:p>
    <w:p w:rsidR="00AA27F4" w:rsidRDefault="00AA27F4">
      <w:pPr>
        <w:pStyle w:val="Mystyle"/>
      </w:pPr>
      <w:r>
        <w:t xml:space="preserve">Избирательность, способность к ассимиляции и переосмыслению характеризовали индийскую культуру на всем протяжении ее развития. Ей не раз приходилось переживать периоды кризисов и сомнений. Сегодняшний мир с его точными науками и передовой техникой ставит перед ней новые задачи, требует поиска новых путей. Как сохранить непреходящие ценности национальной, религиозной и эстетической традиций, выдержавшие испытание пяти тысячелетий, как соединить их с сегодняшней действительностью — вот вопросы, которые занимают современных индийских философов, художников и писателей. От того, сумеют ли они гармонично и творчески решить эту задачу, зависит направление будущего развития индийской культуры. </w:t>
      </w:r>
    </w:p>
    <w:p w:rsidR="00AA27F4" w:rsidRDefault="00AA27F4">
      <w:pPr>
        <w:pStyle w:val="Mystyle"/>
      </w:pPr>
    </w:p>
    <w:p w:rsidR="00AA27F4" w:rsidRDefault="00AA27F4">
      <w:pPr>
        <w:pStyle w:val="Mystyle"/>
        <w:jc w:val="center"/>
        <w:rPr>
          <w:b/>
          <w:bCs/>
          <w:sz w:val="28"/>
          <w:szCs w:val="28"/>
        </w:rPr>
      </w:pPr>
      <w:r>
        <w:rPr>
          <w:b/>
          <w:bCs/>
          <w:sz w:val="28"/>
          <w:szCs w:val="28"/>
        </w:rPr>
        <w:t>Список литературы</w:t>
      </w:r>
    </w:p>
    <w:p w:rsidR="00AA27F4" w:rsidRDefault="00AA27F4">
      <w:pPr>
        <w:pStyle w:val="Mystyle"/>
      </w:pPr>
      <w:r>
        <w:t>Столяров Д.Ю., Кортунов В.В. Культурология: Учебное пособие для студентов заочного обучения всех специальностей. - М.: ГАУ им. С. Орджоникидзе, 1998.</w:t>
      </w:r>
    </w:p>
    <w:p w:rsidR="00AA27F4" w:rsidRDefault="00AA27F4">
      <w:pPr>
        <w:pStyle w:val="Mystyle"/>
      </w:pPr>
      <w:r>
        <w:t>Альбедиль М.Ф. Протоиндийская цивилизация: Очерки культуры. М., 1994.</w:t>
      </w:r>
    </w:p>
    <w:p w:rsidR="00AA27F4" w:rsidRDefault="00AA27F4">
      <w:pPr>
        <w:pStyle w:val="Mystyle"/>
      </w:pPr>
      <w:r>
        <w:t>Асвагоша. Жизнь Будды. Пер. К.Бальмонта. Со вступ. ст. С.Леви. – М., 1913.</w:t>
      </w:r>
    </w:p>
    <w:p w:rsidR="00AA27F4" w:rsidRDefault="00AA27F4">
      <w:pPr>
        <w:pStyle w:val="Mystyle"/>
      </w:pPr>
      <w:r>
        <w:t>Бонгард-Левин Г.М. Древнеиндийская цивилизация. – М., 1993.</w:t>
      </w:r>
    </w:p>
    <w:p w:rsidR="00AA27F4" w:rsidRDefault="00AA27F4">
      <w:pPr>
        <w:pStyle w:val="Mystyle"/>
      </w:pPr>
      <w:r>
        <w:t>Бонгард-Левин Г.М., Грантовский Э.А. От Скифии до Индии. Древние арии: Мифы и история. – М., 1983.</w:t>
      </w:r>
    </w:p>
    <w:p w:rsidR="00AA27F4" w:rsidRDefault="00AA27F4">
      <w:pPr>
        <w:pStyle w:val="Mystyle"/>
      </w:pPr>
      <w:r>
        <w:t>Бонгард-Левин Г.М., Ильин Г.Ф. Индия в древности. – М., 1985.</w:t>
      </w:r>
    </w:p>
    <w:p w:rsidR="00AA27F4" w:rsidRDefault="00AA27F4">
      <w:pPr>
        <w:pStyle w:val="Mystyle"/>
      </w:pPr>
      <w:r>
        <w:t>Бэшем А.Л. Чудо, которым была Индия. – М., 1977.</w:t>
      </w:r>
    </w:p>
    <w:p w:rsidR="00AA27F4" w:rsidRDefault="00AA27F4">
      <w:pPr>
        <w:pStyle w:val="Mystyle"/>
      </w:pPr>
      <w:r>
        <w:t>Индуизм, джайнизм, сикхизм. Словарь. – М., 1996.</w:t>
      </w:r>
    </w:p>
    <w:p w:rsidR="00AA27F4" w:rsidRDefault="00AA27F4">
      <w:pPr>
        <w:pStyle w:val="Mystyle"/>
      </w:pPr>
      <w:bookmarkStart w:id="1" w:name="_GoBack"/>
      <w:bookmarkEnd w:id="1"/>
    </w:p>
    <w:sectPr w:rsidR="00AA27F4">
      <w:pgSz w:w="11906" w:h="16838" w:code="9"/>
      <w:pgMar w:top="1134" w:right="1134" w:bottom="1134" w:left="1134"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7F4" w:rsidRDefault="00AA27F4">
      <w:r>
        <w:separator/>
      </w:r>
    </w:p>
  </w:endnote>
  <w:endnote w:type="continuationSeparator" w:id="0">
    <w:p w:rsidR="00AA27F4" w:rsidRDefault="00AA2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7F4" w:rsidRDefault="00AA27F4">
      <w:r>
        <w:separator/>
      </w:r>
    </w:p>
  </w:footnote>
  <w:footnote w:type="continuationSeparator" w:id="0">
    <w:p w:rsidR="00AA27F4" w:rsidRDefault="00AA27F4">
      <w:r>
        <w:continuationSeparator/>
      </w:r>
    </w:p>
  </w:footnote>
  <w:footnote w:id="1">
    <w:p w:rsidR="00AA27F4" w:rsidRDefault="00AA27F4">
      <w:pPr>
        <w:pStyle w:val="ac"/>
        <w:spacing w:before="0" w:beforeAutospacing="0" w:after="0" w:afterAutospacing="0" w:line="360" w:lineRule="auto"/>
        <w:ind w:firstLine="284"/>
      </w:pPr>
      <w:r>
        <w:rPr>
          <w:rStyle w:val="ad"/>
          <w:sz w:val="20"/>
          <w:szCs w:val="20"/>
        </w:rPr>
        <w:footnoteRef/>
      </w:r>
      <w:r>
        <w:rPr>
          <w:sz w:val="20"/>
          <w:szCs w:val="20"/>
        </w:rPr>
        <w:t xml:space="preserve"> См. Темкин Э.Н., Эрман В.Г. Три великие сказания Древней Индии (Махабхарата, Рамаяна, Бхагавата-пурана). Литературное изложение. – М., 1978. С. 6</w:t>
      </w:r>
    </w:p>
  </w:footnote>
  <w:footnote w:id="2">
    <w:p w:rsidR="00AA27F4" w:rsidRDefault="00AA27F4">
      <w:pPr>
        <w:pStyle w:val="ae"/>
        <w:spacing w:line="360" w:lineRule="auto"/>
        <w:ind w:firstLine="284"/>
      </w:pPr>
      <w:r>
        <w:rPr>
          <w:rStyle w:val="ad"/>
        </w:rPr>
        <w:footnoteRef/>
      </w:r>
      <w:r>
        <w:t xml:space="preserve"> Бэшем А.Л. Чудо, которым была Индия. – М., 1977. С. 4</w:t>
      </w:r>
    </w:p>
  </w:footnote>
  <w:footnote w:id="3">
    <w:p w:rsidR="00AA27F4" w:rsidRDefault="00AA27F4">
      <w:pPr>
        <w:pStyle w:val="ae"/>
        <w:spacing w:line="360" w:lineRule="auto"/>
        <w:ind w:firstLine="284"/>
      </w:pPr>
      <w:r>
        <w:rPr>
          <w:rStyle w:val="ad"/>
        </w:rPr>
        <w:footnoteRef/>
      </w:r>
      <w:r>
        <w:t xml:space="preserve"> Альбедиль М.Ф. Протоиндийская цивилизация: Очерки культуры. М., 1994. С. 39</w:t>
      </w:r>
    </w:p>
  </w:footnote>
  <w:footnote w:id="4">
    <w:p w:rsidR="00AA27F4" w:rsidRDefault="00AA27F4">
      <w:pPr>
        <w:spacing w:line="360" w:lineRule="auto"/>
        <w:ind w:firstLine="284"/>
        <w:jc w:val="both"/>
      </w:pPr>
      <w:r>
        <w:rPr>
          <w:rStyle w:val="ad"/>
          <w:sz w:val="20"/>
          <w:szCs w:val="20"/>
        </w:rPr>
        <w:footnoteRef/>
      </w:r>
      <w:r>
        <w:rPr>
          <w:sz w:val="20"/>
          <w:szCs w:val="20"/>
          <w:lang w:val="ru-RU"/>
        </w:rPr>
        <w:t xml:space="preserve"> Эрман В.Г. Очерк истории ведийской литературы. – М., 1980.</w:t>
      </w:r>
    </w:p>
  </w:footnote>
  <w:footnote w:id="5">
    <w:p w:rsidR="00AA27F4" w:rsidRDefault="00AA27F4">
      <w:pPr>
        <w:pStyle w:val="ae"/>
        <w:spacing w:line="360" w:lineRule="auto"/>
        <w:ind w:firstLine="284"/>
      </w:pPr>
      <w:r>
        <w:rPr>
          <w:rStyle w:val="ad"/>
        </w:rPr>
        <w:footnoteRef/>
      </w:r>
      <w:r>
        <w:t xml:space="preserve"> См. История Востока (Восток в древности). ..С. 309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154723"/>
    <w:multiLevelType w:val="hybridMultilevel"/>
    <w:tmpl w:val="B91636A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3">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4">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5">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num w:numId="1">
    <w:abstractNumId w:val="3"/>
  </w:num>
  <w:num w:numId="2">
    <w:abstractNumId w:val="1"/>
  </w:num>
  <w:num w:numId="3">
    <w:abstractNumId w:val="5"/>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47B1"/>
    <w:rsid w:val="00231D72"/>
    <w:rsid w:val="0050448D"/>
    <w:rsid w:val="00AA27F4"/>
    <w:rsid w:val="00EE47B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C88C383-D29B-4AA6-9BFD-02663E115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Times New Roman" w:hAnsi="Times New Roman"/>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
    <w:name w:val="заголовок 3"/>
    <w:basedOn w:val="a"/>
    <w:next w:val="a"/>
    <w:uiPriority w:val="99"/>
    <w:pPr>
      <w:keepNext/>
      <w:widowControl/>
      <w:jc w:val="both"/>
      <w:outlineLvl w:val="2"/>
    </w:pPr>
    <w:rPr>
      <w:sz w:val="28"/>
      <w:szCs w:val="28"/>
      <w:lang w:val="ru-RU"/>
    </w:rPr>
  </w:style>
  <w:style w:type="paragraph" w:customStyle="1" w:styleId="4">
    <w:name w:val="заголовок 4"/>
    <w:basedOn w:val="a"/>
    <w:next w:val="a"/>
    <w:uiPriority w:val="99"/>
    <w:pPr>
      <w:keepNext/>
      <w:widowControl/>
      <w:jc w:val="center"/>
      <w:outlineLvl w:val="3"/>
    </w:pPr>
    <w:rPr>
      <w:b/>
      <w:bCs/>
      <w:sz w:val="28"/>
      <w:szCs w:val="28"/>
      <w:lang w:val="ru-RU"/>
    </w:rPr>
  </w:style>
  <w:style w:type="paragraph" w:customStyle="1" w:styleId="8">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3">
    <w:name w:val="Основной шрифт"/>
    <w:uiPriority w:val="99"/>
  </w:style>
  <w:style w:type="paragraph" w:styleId="a4">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link w:val="a4"/>
    <w:uiPriority w:val="99"/>
    <w:semiHidden/>
    <w:rPr>
      <w:rFonts w:ascii="Times New Roman" w:hAnsi="Times New Roman" w:cs="Times New Roman"/>
      <w:sz w:val="24"/>
      <w:szCs w:val="24"/>
      <w:lang w:val="en-US"/>
    </w:rPr>
  </w:style>
  <w:style w:type="paragraph" w:styleId="20">
    <w:name w:val="Body Text 2"/>
    <w:basedOn w:val="a"/>
    <w:link w:val="21"/>
    <w:uiPriority w:val="99"/>
    <w:pPr>
      <w:widowControl/>
      <w:jc w:val="both"/>
    </w:pPr>
    <w:rPr>
      <w:lang w:val="ru-RU"/>
    </w:rPr>
  </w:style>
  <w:style w:type="character" w:customStyle="1" w:styleId="21">
    <w:name w:val="Основной текст 2 Знак"/>
    <w:link w:val="20"/>
    <w:uiPriority w:val="99"/>
    <w:semiHidden/>
    <w:rPr>
      <w:rFonts w:ascii="Times New Roman" w:hAnsi="Times New Roman" w:cs="Times New Roman"/>
      <w:sz w:val="24"/>
      <w:szCs w:val="24"/>
      <w:lang w:val="en-US"/>
    </w:rPr>
  </w:style>
  <w:style w:type="paragraph" w:customStyle="1" w:styleId="Mystyle">
    <w:name w:val="Mystyle"/>
    <w:basedOn w:val="a4"/>
    <w:uiPriority w:val="99"/>
    <w:pPr>
      <w:spacing w:before="120"/>
      <w:ind w:firstLine="567"/>
    </w:pPr>
    <w:rPr>
      <w:rFonts w:ascii="Times New Roman" w:hAnsi="Times New Roman" w:cs="Times New Roman"/>
      <w:b w:val="0"/>
      <w:bCs w:val="0"/>
    </w:rPr>
  </w:style>
  <w:style w:type="paragraph" w:styleId="22">
    <w:name w:val="Body Text Indent 2"/>
    <w:basedOn w:val="a"/>
    <w:link w:val="23"/>
    <w:uiPriority w:val="99"/>
    <w:pPr>
      <w:widowControl/>
      <w:spacing w:line="240" w:lineRule="atLeast"/>
      <w:ind w:right="-2812" w:firstLine="320"/>
    </w:pPr>
    <w:rPr>
      <w:lang w:val="ru-RU"/>
    </w:rPr>
  </w:style>
  <w:style w:type="character" w:customStyle="1" w:styleId="23">
    <w:name w:val="Основной текст с отступом 2 Знак"/>
    <w:link w:val="22"/>
    <w:uiPriority w:val="99"/>
    <w:semiHidden/>
    <w:rPr>
      <w:rFonts w:ascii="Times New Roman" w:hAnsi="Times New Roman" w:cs="Times New Roman"/>
      <w:sz w:val="24"/>
      <w:szCs w:val="24"/>
      <w:lang w:val="en-US"/>
    </w:rPr>
  </w:style>
  <w:style w:type="paragraph" w:styleId="30">
    <w:name w:val="Body Text Indent 3"/>
    <w:basedOn w:val="a"/>
    <w:link w:val="31"/>
    <w:uiPriority w:val="99"/>
    <w:pPr>
      <w:widowControl/>
      <w:spacing w:before="40" w:line="240" w:lineRule="atLeast"/>
      <w:ind w:right="-2812" w:firstLine="360"/>
    </w:pPr>
    <w:rPr>
      <w:lang w:val="ru-RU"/>
    </w:rPr>
  </w:style>
  <w:style w:type="character" w:customStyle="1" w:styleId="31">
    <w:name w:val="Основной текст с отступом 3 Знак"/>
    <w:link w:val="30"/>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link w:val="a6"/>
    <w:uiPriority w:val="99"/>
    <w:semiHidden/>
    <w:rPr>
      <w:rFonts w:ascii="Times New Roman" w:hAnsi="Times New Roman" w:cs="Times New Roman"/>
      <w:sz w:val="24"/>
      <w:szCs w:val="24"/>
      <w:lang w:val="en-US"/>
    </w:rPr>
  </w:style>
  <w:style w:type="character" w:customStyle="1" w:styleId="a8">
    <w:name w:val="номер страницы"/>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4">
    <w:name w:val="оглавление 2"/>
    <w:basedOn w:val="a"/>
    <w:next w:val="a"/>
    <w:autoRedefine/>
    <w:uiPriority w:val="99"/>
    <w:pPr>
      <w:widowControl/>
      <w:tabs>
        <w:tab w:val="right" w:leader="dot" w:pos="4536"/>
      </w:tabs>
      <w:ind w:left="142"/>
    </w:pPr>
    <w:rPr>
      <w:noProof/>
      <w:sz w:val="10"/>
      <w:szCs w:val="10"/>
    </w:rPr>
  </w:style>
  <w:style w:type="paragraph" w:customStyle="1" w:styleId="32">
    <w:name w:val="оглавление 3"/>
    <w:basedOn w:val="a"/>
    <w:next w:val="a"/>
    <w:autoRedefine/>
    <w:uiPriority w:val="99"/>
    <w:pPr>
      <w:widowControl/>
      <w:ind w:left="400"/>
    </w:pPr>
    <w:rPr>
      <w:sz w:val="20"/>
      <w:szCs w:val="20"/>
      <w:lang w:val="ru-RU"/>
    </w:rPr>
  </w:style>
  <w:style w:type="paragraph" w:customStyle="1" w:styleId="40">
    <w:name w:val="оглавление 4"/>
    <w:basedOn w:val="a"/>
    <w:next w:val="a"/>
    <w:autoRedefine/>
    <w:uiPriority w:val="99"/>
    <w:pPr>
      <w:widowControl/>
      <w:ind w:left="600"/>
    </w:pPr>
    <w:rPr>
      <w:sz w:val="20"/>
      <w:szCs w:val="20"/>
      <w:lang w:val="ru-RU"/>
    </w:rPr>
  </w:style>
  <w:style w:type="paragraph" w:customStyle="1" w:styleId="5">
    <w:name w:val="оглавление 5"/>
    <w:basedOn w:val="a"/>
    <w:next w:val="a"/>
    <w:autoRedefine/>
    <w:uiPriority w:val="99"/>
    <w:pPr>
      <w:widowControl/>
      <w:ind w:left="800"/>
    </w:pPr>
    <w:rPr>
      <w:sz w:val="20"/>
      <w:szCs w:val="20"/>
      <w:lang w:val="ru-RU"/>
    </w:rPr>
  </w:style>
  <w:style w:type="paragraph" w:customStyle="1" w:styleId="6">
    <w:name w:val="оглавление 6"/>
    <w:basedOn w:val="a"/>
    <w:next w:val="a"/>
    <w:autoRedefine/>
    <w:uiPriority w:val="99"/>
    <w:pPr>
      <w:widowControl/>
      <w:ind w:left="1000"/>
    </w:pPr>
    <w:rPr>
      <w:sz w:val="20"/>
      <w:szCs w:val="20"/>
      <w:lang w:val="ru-RU"/>
    </w:rPr>
  </w:style>
  <w:style w:type="paragraph" w:customStyle="1" w:styleId="7">
    <w:name w:val="оглавление 7"/>
    <w:basedOn w:val="a"/>
    <w:next w:val="a"/>
    <w:autoRedefine/>
    <w:uiPriority w:val="99"/>
    <w:pPr>
      <w:widowControl/>
      <w:ind w:left="1200"/>
    </w:pPr>
    <w:rPr>
      <w:sz w:val="20"/>
      <w:szCs w:val="20"/>
      <w:lang w:val="ru-RU"/>
    </w:rPr>
  </w:style>
  <w:style w:type="paragraph" w:customStyle="1" w:styleId="80">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link w:val="a9"/>
    <w:uiPriority w:val="99"/>
    <w:semiHidden/>
    <w:rPr>
      <w:rFonts w:ascii="Times New Roman" w:hAnsi="Times New Roman" w:cs="Times New Roman"/>
      <w:sz w:val="24"/>
      <w:szCs w:val="24"/>
      <w:lang w:val="en-US"/>
    </w:rPr>
  </w:style>
  <w:style w:type="character" w:styleId="ab">
    <w:name w:val="Hyperlink"/>
    <w:uiPriority w:val="99"/>
    <w:rPr>
      <w:color w:val="0000FF"/>
      <w:u w:val="single"/>
    </w:rPr>
  </w:style>
  <w:style w:type="paragraph" w:styleId="ac">
    <w:name w:val="Normal (Web)"/>
    <w:basedOn w:val="a"/>
    <w:uiPriority w:val="99"/>
    <w:pPr>
      <w:widowControl/>
      <w:autoSpaceDE/>
      <w:autoSpaceDN/>
      <w:spacing w:before="100" w:beforeAutospacing="1" w:after="100" w:afterAutospacing="1"/>
    </w:pPr>
    <w:rPr>
      <w:color w:val="000000"/>
      <w:lang w:val="ru-RU"/>
    </w:rPr>
  </w:style>
  <w:style w:type="character" w:styleId="ad">
    <w:name w:val="footnote reference"/>
    <w:uiPriority w:val="99"/>
    <w:rPr>
      <w:vertAlign w:val="superscript"/>
    </w:rPr>
  </w:style>
  <w:style w:type="paragraph" w:styleId="ae">
    <w:name w:val="footnote text"/>
    <w:basedOn w:val="a"/>
    <w:link w:val="af"/>
    <w:uiPriority w:val="99"/>
    <w:pPr>
      <w:widowControl/>
      <w:autoSpaceDE/>
      <w:autoSpaceDN/>
    </w:pPr>
    <w:rPr>
      <w:sz w:val="20"/>
      <w:szCs w:val="20"/>
      <w:lang w:val="ru-RU"/>
    </w:rPr>
  </w:style>
  <w:style w:type="character" w:customStyle="1" w:styleId="af">
    <w:name w:val="Текст сноски Знак"/>
    <w:link w:val="ae"/>
    <w:uiPriority w:val="99"/>
    <w:semiHidden/>
    <w:rPr>
      <w:rFonts w:ascii="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12487</Words>
  <Characters>7118</Characters>
  <Application>Microsoft Office Word</Application>
  <DocSecurity>0</DocSecurity>
  <Lines>59</Lines>
  <Paragraphs>39</Paragraphs>
  <ScaleCrop>false</ScaleCrop>
  <HeadingPairs>
    <vt:vector size="2" baseType="variant">
      <vt:variant>
        <vt:lpstr>Название</vt:lpstr>
      </vt:variant>
      <vt:variant>
        <vt:i4>1</vt:i4>
      </vt:variant>
    </vt:vector>
  </HeadingPairs>
  <TitlesOfParts>
    <vt:vector size="1" baseType="lpstr">
      <vt:lpstr>Государство и право Англии в период сословно-представительной монархии</vt:lpstr>
    </vt:vector>
  </TitlesOfParts>
  <Company>ГУУ</Company>
  <LinksUpToDate>false</LinksUpToDate>
  <CharactersWithSpaces>19566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Севостьянов Иван Олегович</dc:creator>
  <cp:keywords/>
  <dc:description/>
  <cp:lastModifiedBy>admin</cp:lastModifiedBy>
  <cp:revision>2</cp:revision>
  <dcterms:created xsi:type="dcterms:W3CDTF">2014-01-27T08:11:00Z</dcterms:created>
  <dcterms:modified xsi:type="dcterms:W3CDTF">2014-01-27T08:11:00Z</dcterms:modified>
</cp:coreProperties>
</file>