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2D8" w:rsidRPr="00C151DB" w:rsidRDefault="00C852D8" w:rsidP="00C852D8">
      <w:pPr>
        <w:spacing w:before="120"/>
        <w:jc w:val="center"/>
        <w:rPr>
          <w:b/>
          <w:bCs/>
          <w:sz w:val="32"/>
          <w:szCs w:val="32"/>
        </w:rPr>
      </w:pPr>
      <w:r w:rsidRPr="00C151DB">
        <w:rPr>
          <w:b/>
          <w:bCs/>
          <w:sz w:val="32"/>
          <w:szCs w:val="32"/>
        </w:rPr>
        <w:t>История текста богослужебных певческих книг</w:t>
      </w:r>
    </w:p>
    <w:p w:rsidR="00C852D8" w:rsidRDefault="00C852D8" w:rsidP="00C852D8">
      <w:pPr>
        <w:spacing w:before="120"/>
        <w:ind w:firstLine="567"/>
        <w:jc w:val="both"/>
        <w:rPr>
          <w:sz w:val="24"/>
          <w:szCs w:val="24"/>
        </w:rPr>
      </w:pPr>
      <w:r w:rsidRPr="00C151DB">
        <w:rPr>
          <w:sz w:val="24"/>
          <w:szCs w:val="24"/>
        </w:rPr>
        <w:t>В истории текста богослужебных певческих книг различаются три периода: первый — от конца XI в. до половины XIV в. — старый, истиноречный, или праворечный, период, второй — с половины XIV в. до половины XVII в. — период хомонии, или раздельноречия, третий — новый, истиноречный, или праворечный, — со времени Собора 1666-1667 гг. до наших дней. В первый, древнейший, истиноречный период полугласные или редуцированные гласные «ь» и «ъ» как в тексте читаемом, так и в тексте поёмом имели одинаковое, особое, свойственное им произношение, почему в йотированных богослужебных книгах над ними ставились отдельные невменные знаки, распевающие эти полугласные звуки наподобие гласных. Так, в «Стихираре» 1157 г. слово «дьньсь» имеет над собой три крюковых знака, по одному над каждой полугласной буквой «ь». Таким образом, полное совпадение читаемого и поёмого текста является сущностью истиноречия.</w:t>
      </w:r>
    </w:p>
    <w:p w:rsidR="00C852D8" w:rsidRDefault="00C852D8" w:rsidP="00C852D8">
      <w:pPr>
        <w:spacing w:before="120"/>
        <w:ind w:firstLine="567"/>
        <w:jc w:val="both"/>
        <w:rPr>
          <w:sz w:val="24"/>
          <w:szCs w:val="24"/>
        </w:rPr>
      </w:pPr>
      <w:r w:rsidRPr="00C151DB">
        <w:rPr>
          <w:sz w:val="24"/>
          <w:szCs w:val="24"/>
        </w:rPr>
        <w:t>Многие ученые связывают происхождение раздельноречия с падением редуцированных гласных в славянском языке. В живой речи оно произошло, как полагает современная лингвистика, уже в XI в., несколько позже соответствующие изменения закрепились и в орфографии рукописных книг. При этом редуцированные гласные, находившиеся в сильном положении (то есть на ударных слогах), были заменены гласными полного образования — «о» и «е», а редуцированные гласные в слабом положении совсем перестали произноситься. Однако поскольку в певческих рукописях над ними были проставлены самостоятельные знамена, они продолжали интонироваться в пении, перейдя также в полные гласные, в результате чего слово «есть» превращалось в «есте», слово «миръ» в «миро», «услышахомъ» — в «услышахомо». Превращение глагольного окончания «хом» в «хомо» и послужило источником возникновения термина «хомония». Такое устоявшееся объяснение происхождения хомонии падением редуцированных гласных теперь признается явно недостаточным. В самом деле, если падение редуцированных гласных произошло уже в XI в., то почему результаты этого явления сказываются в певческих рукописях лишь через три с лишним столетия, в конце XV в.? Чем объяснить, что при пересмотре и исправлении певческих рукописей в XIV-XV вв. элементы хомонии не только не были устранены из текстов песнопений, а напротив, возросли в очень большой степени? Ответ может быть только один: хомония не является результатом стихийного лингвистического процесса, но представляет собой продукт сознательных целенаправленных действий.</w:t>
      </w:r>
    </w:p>
    <w:p w:rsidR="00C852D8" w:rsidRDefault="00C852D8" w:rsidP="00C852D8">
      <w:pPr>
        <w:spacing w:before="120"/>
        <w:ind w:firstLine="567"/>
        <w:jc w:val="both"/>
        <w:rPr>
          <w:sz w:val="24"/>
          <w:szCs w:val="24"/>
        </w:rPr>
      </w:pPr>
      <w:r w:rsidRPr="00C151DB">
        <w:rPr>
          <w:sz w:val="24"/>
          <w:szCs w:val="24"/>
        </w:rPr>
        <w:t>Очевидно, не случайно начало периода раздельноречия, или хомонии, совпадает с началом московского периода, ознаменовавшегося, как уже говорилось, возникновением совершенно новых певческих тенденций, ибо хомония есть конкретное выражение того нового мелодического ощущения и мелодического мышления, которое было порождено понятием «калофония», или «сладкозвучие» («сладкогласование»). Само же понятие «калофония» теснейшим образом связано с мировоззрением и эстетикой исихазма, имеющего явную тенденцию к некоему орнаментальному мышлению, ярчайшим проявлением которого можно считать так называемый балканский геометрический орнамент, обязанный своим происхождением деятельности афонских монастырей. Орнаментальное мышление проявлялось не только в книжных орнаментальных заставках, и не только в архитектурной резьбе таких монастырских храмов начала XV в., как Троицкий собор в Троице-Сергиевой лавре и Рождественский в Саввино-Сторожевском монастыре, но и в особом литературном стиле — «плетение словес», сложившемся на Руси в конце XIV - начале XV вв. Внетекстовое, чисто мелодическое «плетение», ставшее возможным благодаря хомонии, представляет собой, очевидно, явление, аналогичное книжному плетеному орнаменту и литературному «плетению словес». Текст богослужебного песнопения переплетен со свободными калофоническими элементами мелодии, образуя некое особое мелодическо-текстовое плетение.</w:t>
      </w:r>
    </w:p>
    <w:p w:rsidR="00C852D8" w:rsidRDefault="00C852D8" w:rsidP="00C852D8">
      <w:pPr>
        <w:spacing w:before="120"/>
        <w:ind w:firstLine="567"/>
        <w:jc w:val="both"/>
        <w:rPr>
          <w:sz w:val="24"/>
          <w:szCs w:val="24"/>
        </w:rPr>
      </w:pPr>
      <w:r w:rsidRPr="00C151DB">
        <w:rPr>
          <w:sz w:val="24"/>
          <w:szCs w:val="24"/>
        </w:rPr>
        <w:t>Калофоническое ощущение мелодизма повлекло за собой также активное применение «аненаек» и «хабув». Введение в богослужебный текст этих внетекстовых фонем не было новшеством для русской певческой практики, ибо, как уже говорилось, они широко использовались уже в кондакарном пении, то есть в одном из самых древних видов русского церковного пения, однако именно во втором периоде их применение достигает особой интенсивности. Диапазон использования «аненаек» и «хабув» ограничивается особыми праздничными песнопениями. Невозможно даже представить себе их применение, например, во вседневных или воскресных стихирах. Характерны «аненайки» и «хабувы» также и для продолжительных песнопений с краткими текстами, какими являются, например, причастные стихи. Само собой разумеется, что как принцип хомонии, так и «аненайки» с «хабувами» могли существовать полноценно только в условиях высокой культуры знания богослужебного текста, в среде лиц, для которых наличие внетекстовых фонем не могло затемнять самого смысла текста. Такое знание богослужебных текстов могло иметь место только в условиях монастырской жизни, подразумевающей обязательные каждодневные богослужения. И не случайно, очевидно, что возникновение хомонии совпадает по времени с введением Иерусалимского Устава и появлением Устава скитской жизни преподобного Нила Сорского, ибо это явления, произрастающие из единого духовного корня — аскетического подвига, обновленного преподобным Сергием.</w:t>
      </w:r>
    </w:p>
    <w:p w:rsidR="00C852D8" w:rsidRDefault="00C852D8" w:rsidP="00C852D8">
      <w:pPr>
        <w:spacing w:before="120"/>
        <w:ind w:firstLine="567"/>
        <w:jc w:val="both"/>
        <w:rPr>
          <w:sz w:val="24"/>
          <w:szCs w:val="24"/>
        </w:rPr>
      </w:pPr>
      <w:r w:rsidRPr="00C151DB">
        <w:rPr>
          <w:sz w:val="24"/>
          <w:szCs w:val="24"/>
        </w:rPr>
        <w:t>Высокая культура знания богослужебных текстов, столь необходимая для правильного, неизвращенного существования хомонии, к сожалению, не всегда находилась на должном уровне. Небрежное и невежественное отношение к богослужебному тексту начало наблюдаться еще в конце XV в. Архиепископ Новгородский Геннадий в 1485 г. писал: «А се мужики невежи учат ребят, да речь ему испортять». Эта «порча речи» продолжалась и в XVI в. По свидетельству Стоглава, «божественная книги писцы пишутъ съ неправленныхъ переводовъ, а написавъ не правять же, опись к описи прибываетъ и недописи и точки непрямые, и по темъ книгамъ в церквахъ Божиихъ чтутъ и поютъ и учатся и пишутъ с нихъ». В результате этого небрежения текст поёмый стал порою до неузнаваемости отличаться от текста читаемого и речи разговорной. Инок Ефросин так характеризовал сложившееся положение в 1651 г.: «...безчисленна злая опись в знаменных книгах: редко какой стих обрящется, который бы былъ неиспорченъ в речах во всяком знаменном пении». Частные попытки исправления испорченного хомового текста на речь встречались еще в начале XVII в. В нотных книгах времени царствования Михаила Федоровича можно встретить замечания: «До техъ месть справилъ», или надписи: «на речь». Однако, как и все частные попытки, подобные исправления не могли иметь большого значения, а зачастую и усугубляли положение, увеличивая разнобой и беспорядок. К «злым описям» и извращениям хомового текста прибавилось еще и богослужебное многогласие, сущность которого сводилась к тому, что ради сокращения времени службы служебное чинопоследование разделялось на несколько частей и читалось или пелось одновременно на два, три и более голосов. Эту практику осудил еще Стоглавый собор: «а вдруг бы псалмовъ и псалтири не говорили, такожъ бы и каноновъ вдругь не конархили, и не говорили по два вместе, занеже то въ нашемъ православии великое безчинство и грехъ тако творити». Однако несмотря на запрещение Стоглавого собора многогласие продолжало укореняться в практике Русской Православной Церкви, о чем свидетельствует послание Патриарха Гермогена, написанное около 1611 г.: «Поведають намъ, что... вселилося в церковномъ пении великое неисправление. По преданию св. апостол и по уставу св. отецъ церковнаго пения не исправляють и говорягь-де голоса въ два и въ три и въ четыре, а индъ въ пять и въ шесть, и то нашего христианскаго закона чуже». Практика многогласия продолжала процветать и при Патриархе Иосафе I и при Патриархе Иосифе, при котором «въ церквахъ Божиихъ пели поскору, не единогласно, со всякимъ безстрашиемъ».</w:t>
      </w:r>
    </w:p>
    <w:p w:rsidR="00C852D8" w:rsidRDefault="00C852D8" w:rsidP="00C852D8">
      <w:pPr>
        <w:spacing w:before="120"/>
        <w:ind w:firstLine="567"/>
        <w:jc w:val="both"/>
        <w:rPr>
          <w:sz w:val="24"/>
          <w:szCs w:val="24"/>
        </w:rPr>
      </w:pPr>
      <w:r w:rsidRPr="00C151DB">
        <w:rPr>
          <w:sz w:val="24"/>
          <w:szCs w:val="24"/>
        </w:rPr>
        <w:t>Однако Патриарх Иосиф, бывший сначала противником единогласного пения, по настоянию защитников многогласия, в конце концов решился обратиться за разрешением этого вопроса к константинопольскому Патриарху Парфению: «Подобаеть ли въ приходскихъ церквахъ и монастыряхъ вводить единогласие в богослужении?» Когда константинопольский Патриарх грамотой 16 августа 1650 г. одобрил единогласие, то, с согласия целого собора русских иерархов и Патриарха Иосифа, царь Алексей Михайлович в 1652 г. указом предписал, а Собор 1666-1667 гг. уже соборно постановил: «Церковное все славословие чинно и немятежно и единогласно и гласовое пение пети на речь». Таким образом, практика многогласия и раздельноречия была окончательно осуждена и запрещена.</w:t>
      </w:r>
    </w:p>
    <w:p w:rsidR="00C852D8" w:rsidRDefault="00C852D8" w:rsidP="00C852D8">
      <w:pPr>
        <w:spacing w:before="120"/>
        <w:ind w:firstLine="567"/>
        <w:jc w:val="both"/>
        <w:rPr>
          <w:sz w:val="24"/>
          <w:szCs w:val="24"/>
        </w:rPr>
      </w:pPr>
      <w:r w:rsidRPr="00C151DB">
        <w:rPr>
          <w:sz w:val="24"/>
          <w:szCs w:val="24"/>
        </w:rPr>
        <w:t>Для систематического исправления хомового текста на речь с благословения Патриарха Иосифа по указу царя Алексея Михайловича была создана специальная комиссия дидаскалов, «отлично знавших церковное пение», числом в 14 человек. Однако свирепствовавшая в России и в Москве чума прервала работу комиссии. Новая комиссия была составлена в 1668 г. из шести человек во главе со справщиком при Печатном дворе старцем Александром Мезенцем. Комиссия имела в своем распоряжении древние хоратейные йотированные рукописи за 400 лет и более и по ним исправляла на речь хомовые книги, иногда даже с точным указанием, что «сего стиха в новыхъ минеяхъ неть, но в древнихъ». Правленное наречное пение было встречено почти полным сочувствием даже в среде ревнителей старины, противников книжного исправления. В послании к «рабам Христовым» протопоп Аввакум пишет: «А пение подобаетъ пети въ церквахъ православныхъ единогласно и на речь против печати. Наречное пение я самъ до мору, на Москве живучи, ви-делъ, переводъ писанъ при царе Феодоре Ивановиче, и оби-ходъ и прочее. Я по немъ самъ пелъ у Казанские многажды. Оттоле и доднесь пою единогласно и на речь, яко праведно, яко по Писанию".</w:t>
      </w:r>
    </w:p>
    <w:p w:rsidR="00C852D8" w:rsidRDefault="00C852D8" w:rsidP="00C852D8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C151DB">
        <w:rPr>
          <w:sz w:val="24"/>
          <w:szCs w:val="24"/>
        </w:rPr>
        <w:t xml:space="preserve">Так завершился период раздельноречия, или хомонии, и начался период нового истиноречия. Справщики, возглавляемые старцем Александром Мезенцем, исполнили возложенное на них поручение с большим успехом и с замечательным знанием дела. Той же комиссии поручено было заняться печатанием новоисправленных истиноречных йотированных книг. Для облегчения печатания Александр Мезенец предложил устранить киноварные пометы и ввести черные тушевые признаки, позволяющие осуществлять печать в один цвет. В 1678 г. на московском Печатном дворе был отлит полный состав безлинейных знаменных нот, однако этот набор знаков знаменной нотации так и остался неиспользованным. Бурный и сокрушительный натиск европейской линейной нотации, а также резкое сокращение количества людей, знающих крюковую нотацию, сыграли роковую роль в судьбе печатания крюковых певческих книг, ибо с исхода XVII в. все певцы Русской Церкви совершали богослужебное пение по нотолинейным рукописям. Что же касается печатания нотолинейных речевых певческих книг, то оно начало осуществляться только в 1772 г., когда по благословению Святейшего синода в первый раз были напечатаны Ирмолог, Октоих, Праздники и Обиход. Неоднократно переиздаваемые вплоть до 1917 г., книги эти донесли до наших дней в общедоступной форме верный православной традиции и благословленный Церковью пример правильного соединения истиноречного текста с мелодикой знаменного распева. Этот образец должен быть фундаментом и отправной точкой для всех практически изучающих богослужебное пение Русской Православной Церкви. 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52D8"/>
    <w:rsid w:val="004A25AF"/>
    <w:rsid w:val="00653255"/>
    <w:rsid w:val="009370B9"/>
    <w:rsid w:val="00C151DB"/>
    <w:rsid w:val="00C852D8"/>
    <w:rsid w:val="00E7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877696-C9E0-415E-800A-7EE6705F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2D8"/>
    <w:pPr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852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7225</Words>
  <Characters>4119</Characters>
  <Application>Microsoft Office Word</Application>
  <DocSecurity>0</DocSecurity>
  <Lines>34</Lines>
  <Paragraphs>22</Paragraphs>
  <ScaleCrop>false</ScaleCrop>
  <Company>Home</Company>
  <LinksUpToDate>false</LinksUpToDate>
  <CharactersWithSpaces>11322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текста богослужебных певческих книг</dc:title>
  <dc:subject/>
  <dc:creator>User</dc:creator>
  <cp:keywords/>
  <dc:description/>
  <cp:lastModifiedBy>admin</cp:lastModifiedBy>
  <cp:revision>2</cp:revision>
  <dcterms:created xsi:type="dcterms:W3CDTF">2014-01-25T16:48:00Z</dcterms:created>
  <dcterms:modified xsi:type="dcterms:W3CDTF">2014-01-25T16:48:00Z</dcterms:modified>
</cp:coreProperties>
</file>