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CB" w:rsidRDefault="003D39B0">
      <w:pPr>
        <w:pStyle w:val="Mystyle"/>
        <w:jc w:val="center"/>
        <w:rPr>
          <w:b/>
          <w:bCs/>
          <w:sz w:val="32"/>
          <w:szCs w:val="32"/>
        </w:rPr>
      </w:pPr>
      <w:r>
        <w:rPr>
          <w:b/>
          <w:bCs/>
          <w:sz w:val="32"/>
          <w:szCs w:val="32"/>
        </w:rPr>
        <w:t>Измерение социальных установок</w:t>
      </w:r>
    </w:p>
    <w:p w:rsidR="008200CB" w:rsidRDefault="008200CB">
      <w:pPr>
        <w:pStyle w:val="Mystyle"/>
      </w:pPr>
    </w:p>
    <w:p w:rsidR="008200CB" w:rsidRDefault="003D39B0">
      <w:pPr>
        <w:pStyle w:val="Mystyle"/>
      </w:pPr>
      <w:r>
        <w:tab/>
        <w:t>В последнее время в связи с бурным всплеском социальной, в том числе и политической, активности населения особую актуальность приобрели исследования взаимоотношений различных групп общества (национальных, политических и т.д.), а также отношениями между этими группами и социальными институтами (органами власти, ассоциациями, средствами массовой информации и др.).</w:t>
      </w:r>
    </w:p>
    <w:p w:rsidR="008200CB" w:rsidRDefault="003D39B0">
      <w:pPr>
        <w:pStyle w:val="Mystyle"/>
      </w:pPr>
      <w:r>
        <w:tab/>
        <w:t>Часто в основе таких, порой конфликтных взаимоотношений лежит различие интересов, ценностных ориентаций или мировоззренческих представлений, выступающих побудительным мотивом массового поведения, не всегда принимающего социально благоприятную форму.</w:t>
      </w:r>
    </w:p>
    <w:p w:rsidR="008200CB" w:rsidRDefault="003D39B0">
      <w:pPr>
        <w:pStyle w:val="Mystyle"/>
      </w:pPr>
      <w:r>
        <w:tab/>
        <w:t>Учитывая назревшую актуальность использования точных и эффективных методик для изучения новых социальных явлений и процессов, порождённых перестройкой общественной жизни страны, в настоящем разделе расскажем о правилах конструирования наиболее эффективных шкал для измерения установок.</w:t>
      </w:r>
    </w:p>
    <w:p w:rsidR="008200CB" w:rsidRDefault="003D39B0">
      <w:pPr>
        <w:pStyle w:val="Mystyle"/>
      </w:pPr>
      <w:r>
        <w:tab/>
        <w:t>Шкала самооценок. Это наиболее простой вид шкалы измерения установки. Она может быть сконструирована в форме обычного вопроса или в виде числовой оси с положительными и отрицательными градациями.</w:t>
      </w:r>
    </w:p>
    <w:p w:rsidR="008200CB" w:rsidRDefault="003D39B0">
      <w:pPr>
        <w:pStyle w:val="Mystyle"/>
      </w:pPr>
      <w:r>
        <w:t xml:space="preserve">При конструировании шкалы самооценки в форме “традиционного” вопроса её позиции обязательно располагаются симметрично и состоят из равного числа положительных и отрицательных оценок, разделённых “нейтральной” позицией. </w:t>
      </w:r>
    </w:p>
    <w:p w:rsidR="008200CB" w:rsidRDefault="003D39B0">
      <w:pPr>
        <w:pStyle w:val="Mystyle"/>
      </w:pPr>
      <w:r>
        <w:tab/>
        <w:t>Шкала ранжирования. Она отличается той особенностью, что результаты измерения установок при её помощи анализируются в соответствии с правилами, применимыми для ранговых шкал.</w:t>
      </w:r>
    </w:p>
    <w:p w:rsidR="008200CB" w:rsidRDefault="003D39B0">
      <w:pPr>
        <w:pStyle w:val="Mystyle"/>
      </w:pPr>
      <w:r>
        <w:tab/>
        <w:t>Наиболее простой приём измерения установок по правилам такой шкалы – ранжирование респондентами тех объектов, отношение к которым с их стороны интересует исследователя. Так, для выявления шансов на успех того или иного кандидата при многомандатных выборах респондентам предлагают расположить карточки с фамилиями кандидатов в порядке предпочтения. В этом случае все объекты значимы с точки зрения предмета исследования. Итог ранжирования даст информацию о шансах кандидатов быть избранными.</w:t>
      </w:r>
    </w:p>
    <w:p w:rsidR="008200CB" w:rsidRDefault="003D39B0">
      <w:pPr>
        <w:pStyle w:val="Mystyle"/>
      </w:pPr>
      <w:r>
        <w:tab/>
        <w:t>Более сложный вариант измерения установок при помощи ранговой шкалы – метод парных сравнений. Суть его заключается в том, что обозначенные на карточках объекты (их наименования) для оценки парами поочерёдно показывают респондентам, предлагая указать более предпочтительный. При этом такой сравнительной оценке подвергаются все возможные сочетания пар объектов. Количество парных сочетаний (</w:t>
      </w:r>
      <w:r>
        <w:rPr>
          <w:lang w:val="en-US"/>
        </w:rPr>
        <w:t>Q</w:t>
      </w:r>
      <w:r>
        <w:t>), образуемых при изучении установок респондентов относительно некоторого числа объектов (</w:t>
      </w:r>
      <w:r>
        <w:rPr>
          <w:lang w:val="en-US"/>
        </w:rPr>
        <w:t>n</w:t>
      </w:r>
      <w:r>
        <w:t>), вычисляется по формуле.</w:t>
      </w:r>
    </w:p>
    <w:p w:rsidR="008200CB" w:rsidRDefault="003D39B0">
      <w:pPr>
        <w:pStyle w:val="Mystyle"/>
      </w:pPr>
      <w:r>
        <w:tab/>
        <w:t>Сложность применения метода парных сравнений заключается в том, что с ростом числа объектов, подлежащих оценке респондентом, резко возрастает число пар.</w:t>
      </w:r>
    </w:p>
    <w:p w:rsidR="008200CB" w:rsidRDefault="003D39B0">
      <w:pPr>
        <w:pStyle w:val="Mystyle"/>
      </w:pPr>
      <w:r>
        <w:tab/>
        <w:t>Шкала Богардуса. Её основное предназначение – измерение национальных и расовых установок. Особенность этой шкалы заключается в том, что каждая оценка (мнение, позиция) автоматически включает в себя всё последующее и исключает всё предыдущее. На вопрос для неё имеет следующую формулировку: “Какие взаимоотношения с представителем такой-то национальности для вас приемлемы?”</w:t>
      </w:r>
    </w:p>
    <w:p w:rsidR="008200CB" w:rsidRDefault="003D39B0">
      <w:pPr>
        <w:pStyle w:val="Mystyle"/>
      </w:pPr>
      <w:r>
        <w:t>Брачные отношения;</w:t>
      </w:r>
    </w:p>
    <w:p w:rsidR="008200CB" w:rsidRDefault="003D39B0">
      <w:pPr>
        <w:pStyle w:val="Mystyle"/>
      </w:pPr>
      <w:r>
        <w:t>Личная дружба;</w:t>
      </w:r>
    </w:p>
    <w:p w:rsidR="008200CB" w:rsidRDefault="003D39B0">
      <w:pPr>
        <w:pStyle w:val="Mystyle"/>
      </w:pPr>
      <w:r>
        <w:t>Быть соседями;</w:t>
      </w:r>
    </w:p>
    <w:p w:rsidR="008200CB" w:rsidRDefault="003D39B0">
      <w:pPr>
        <w:pStyle w:val="Mystyle"/>
      </w:pPr>
      <w:r>
        <w:t>Быть коллегами по работе;</w:t>
      </w:r>
    </w:p>
    <w:p w:rsidR="008200CB" w:rsidRDefault="003D39B0">
      <w:pPr>
        <w:pStyle w:val="Mystyle"/>
      </w:pPr>
      <w:r>
        <w:t>Быть жителями одного города, посёлка, села;</w:t>
      </w:r>
    </w:p>
    <w:p w:rsidR="008200CB" w:rsidRDefault="003D39B0">
      <w:pPr>
        <w:pStyle w:val="Mystyle"/>
      </w:pPr>
      <w:r>
        <w:t>Быть согражданами одной области;</w:t>
      </w:r>
    </w:p>
    <w:p w:rsidR="008200CB" w:rsidRDefault="003D39B0">
      <w:pPr>
        <w:pStyle w:val="Mystyle"/>
      </w:pPr>
      <w:r>
        <w:t>Быть согражданами страны;</w:t>
      </w:r>
    </w:p>
    <w:p w:rsidR="008200CB" w:rsidRDefault="003D39B0">
      <w:pPr>
        <w:pStyle w:val="Mystyle"/>
      </w:pPr>
      <w:r>
        <w:t>Не возражаю против их выезда из страны.</w:t>
      </w:r>
    </w:p>
    <w:p w:rsidR="008200CB" w:rsidRDefault="003D39B0">
      <w:pPr>
        <w:pStyle w:val="Mystyle"/>
      </w:pPr>
      <w:r>
        <w:tab/>
        <w:t xml:space="preserve">Опыт свидетельствует о том, что подобные шкалы могут быть построены и успешно использоваться для измерение установок относительно явлений в различных сферах общественных отношений. </w:t>
      </w:r>
    </w:p>
    <w:p w:rsidR="008200CB" w:rsidRDefault="003D39B0">
      <w:pPr>
        <w:pStyle w:val="Mystyle"/>
      </w:pPr>
      <w:r>
        <w:tab/>
        <w:t>Метод семантического дифференциала. Этот метод разработан Осгудом. Он основан на принципе ассоциации между понятием, обозначающим объект оценки, и теми или иными вербальными антонимами, характеризующими направленность и интенсивность оценки</w:t>
      </w:r>
      <w:r>
        <w:rPr>
          <w:rStyle w:val="a6"/>
        </w:rPr>
        <w:footnoteReference w:id="1"/>
      </w:r>
      <w:r>
        <w:t xml:space="preserve">. Примеры подобных сочетаний: приятный – раздражающий, чистый – грязный, добрый – жестокий. </w:t>
      </w:r>
    </w:p>
    <w:p w:rsidR="008200CB" w:rsidRDefault="003D39B0">
      <w:pPr>
        <w:pStyle w:val="Mystyle"/>
      </w:pPr>
      <w:r>
        <w:tab/>
        <w:t xml:space="preserve">Для повышения точности измерения установки при помощи семантического дифференциала между антонимами располагают числовую ось, в результате чего для каждой пары антонимов получают 5- или 7-балльную шкалу. </w:t>
      </w:r>
    </w:p>
    <w:p w:rsidR="008200CB" w:rsidRDefault="003D39B0">
      <w:pPr>
        <w:pStyle w:val="Mystyle"/>
      </w:pPr>
      <w:r>
        <w:tab/>
        <w:t>Приведём пример измерения социально-психологического климата коллектива. “Какие качества характерны для отношений в вашем отделе?” Отметьте крестиком соответствующую оценку в каждой строке.</w:t>
      </w:r>
    </w:p>
    <w:p w:rsidR="008200CB" w:rsidRDefault="003D39B0">
      <w:pPr>
        <w:pStyle w:val="Mystyle"/>
      </w:pPr>
      <w:r>
        <w:tab/>
        <w:t>Общая оценка интенсивности и направленности измеренной установки рассчитывается по формуле.</w:t>
      </w:r>
    </w:p>
    <w:p w:rsidR="008200CB" w:rsidRDefault="003D39B0">
      <w:pPr>
        <w:pStyle w:val="Mystyle"/>
      </w:pPr>
      <w:r>
        <w:tab/>
        <w:t>Для построения сложных шкал измерения установок, семантического дифференциала и тестов целесообразно прибегать к помощи психологов.</w:t>
      </w:r>
    </w:p>
    <w:p w:rsidR="008200CB" w:rsidRDefault="008200CB">
      <w:pPr>
        <w:pStyle w:val="Mystyle"/>
      </w:pPr>
    </w:p>
    <w:p w:rsidR="008200CB" w:rsidRDefault="003D39B0">
      <w:pPr>
        <w:pStyle w:val="Mystyle"/>
        <w:jc w:val="center"/>
        <w:rPr>
          <w:b/>
          <w:bCs/>
          <w:sz w:val="28"/>
          <w:szCs w:val="28"/>
        </w:rPr>
      </w:pPr>
      <w:r>
        <w:rPr>
          <w:b/>
          <w:bCs/>
          <w:sz w:val="28"/>
          <w:szCs w:val="28"/>
        </w:rPr>
        <w:t>Список литературы</w:t>
      </w:r>
    </w:p>
    <w:p w:rsidR="008200CB" w:rsidRDefault="003D39B0">
      <w:pPr>
        <w:pStyle w:val="Mystyle"/>
        <w:rPr>
          <w:lang w:val="en-US"/>
        </w:rPr>
      </w:pPr>
      <w:r>
        <w:t xml:space="preserve">При подготовке данной работы были использованы материалы с сайтов: </w:t>
      </w:r>
      <w:hyperlink r:id="rId7" w:history="1">
        <w:r>
          <w:rPr>
            <w:rStyle w:val="a7"/>
            <w:lang w:val="en-US"/>
          </w:rPr>
          <w:t>http://www.referat.ru</w:t>
        </w:r>
      </w:hyperlink>
      <w:r>
        <w:rPr>
          <w:lang w:val="en-US"/>
        </w:rPr>
        <w:t xml:space="preserve"> </w:t>
      </w:r>
      <w:r>
        <w:t xml:space="preserve">и </w:t>
      </w:r>
      <w:hyperlink r:id="rId8" w:history="1">
        <w:r>
          <w:rPr>
            <w:rStyle w:val="a7"/>
            <w:lang w:val="en-US"/>
          </w:rPr>
          <w:t>http://www.bankreferatov.ru</w:t>
        </w:r>
      </w:hyperlink>
      <w:r>
        <w:rPr>
          <w:lang w:val="en-US"/>
        </w:rPr>
        <w:t xml:space="preserve"> </w:t>
      </w:r>
    </w:p>
    <w:p w:rsidR="008200CB" w:rsidRDefault="008200CB">
      <w:pPr>
        <w:pStyle w:val="Mystyle"/>
      </w:pPr>
    </w:p>
    <w:p w:rsidR="008200CB" w:rsidRDefault="008200CB">
      <w:pPr>
        <w:pStyle w:val="Mystyle"/>
      </w:pPr>
      <w:bookmarkStart w:id="0" w:name="_GoBack"/>
      <w:bookmarkEnd w:id="0"/>
    </w:p>
    <w:sectPr w:rsidR="008200C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CB" w:rsidRDefault="003D39B0">
      <w:r>
        <w:separator/>
      </w:r>
    </w:p>
  </w:endnote>
  <w:endnote w:type="continuationSeparator" w:id="0">
    <w:p w:rsidR="008200CB" w:rsidRDefault="003D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CB" w:rsidRDefault="003D39B0">
      <w:r>
        <w:separator/>
      </w:r>
    </w:p>
  </w:footnote>
  <w:footnote w:type="continuationSeparator" w:id="0">
    <w:p w:rsidR="008200CB" w:rsidRDefault="003D39B0">
      <w:r>
        <w:continuationSeparator/>
      </w:r>
    </w:p>
  </w:footnote>
  <w:footnote w:id="1">
    <w:p w:rsidR="008200CB" w:rsidRDefault="003D39B0">
      <w:pPr>
        <w:pStyle w:val="af0"/>
      </w:pPr>
      <w:r>
        <w:rPr>
          <w:rStyle w:val="FootnoteCharacters"/>
        </w:rPr>
        <w:footnoteRef/>
      </w:r>
      <w:r>
        <w:tab/>
        <w:t xml:space="preserve"> Петренко В.Ф. Психосемантика сознания. М., 1988. С. 53-57.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B0"/>
    <w:rsid w:val="003D39B0"/>
    <w:rsid w:val="008200CB"/>
    <w:rsid w:val="00B8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1D1FD-1996-4EA2-B535-BE569E8F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eastAsia="Symbol" w:hAnsi="Symbol" w:cs="Symbol"/>
    </w:rPr>
  </w:style>
  <w:style w:type="character" w:customStyle="1" w:styleId="RTFNum31">
    <w:name w:val="RTF_Num 3 1"/>
    <w:rPr>
      <w:rFonts w:ascii="Times New Roman" w:eastAsia="Times New Roman" w:hAnsi="Times New Roman" w:cs="Times New Roman"/>
      <w:b w:val="0"/>
      <w:bCs w:val="0"/>
      <w:i w:val="0"/>
      <w:iCs w:val="0"/>
      <w:sz w:val="28"/>
      <w:szCs w:val="28"/>
      <w:u w:val="none"/>
    </w:rPr>
  </w:style>
  <w:style w:type="character" w:customStyle="1" w:styleId="RTFNum41">
    <w:name w:val="RTF_Num 4 1"/>
  </w:style>
  <w:style w:type="character" w:customStyle="1" w:styleId="RTFNum51">
    <w:name w:val="RTF_Num 5 1"/>
    <w:rPr>
      <w:rFonts w:ascii="Symbol" w:eastAsia="Symbol" w:hAnsi="Symbol" w:cs="Symbol"/>
    </w:rPr>
  </w:style>
  <w:style w:type="character" w:customStyle="1" w:styleId="RTFNum61">
    <w:name w:val="RTF_Num 6 1"/>
    <w:rPr>
      <w:rFonts w:ascii="Times New Roman" w:eastAsia="Times New Roman" w:hAnsi="Times New Roman" w:cs="Times New Roman"/>
      <w:b w:val="0"/>
      <w:bCs w:val="0"/>
      <w:i w:val="0"/>
      <w:iCs w:val="0"/>
      <w:sz w:val="28"/>
      <w:szCs w:val="28"/>
      <w:u w:val="none"/>
    </w:rPr>
  </w:style>
  <w:style w:type="character" w:customStyle="1" w:styleId="RTFNum71">
    <w:name w:val="RTF_Num 7 1"/>
    <w:rPr>
      <w:rFonts w:ascii="Times New Roman" w:eastAsia="Times New Roman" w:hAnsi="Times New Roman" w:cs="Times New Roman"/>
      <w:b w:val="0"/>
      <w:bCs w:val="0"/>
      <w:i w:val="0"/>
      <w:iCs w:val="0"/>
      <w:sz w:val="28"/>
      <w:szCs w:val="28"/>
      <w:u w:val="none"/>
    </w:rPr>
  </w:style>
  <w:style w:type="character" w:customStyle="1" w:styleId="a3">
    <w:name w:val="Îñíîâíîé øðèôò"/>
  </w:style>
  <w:style w:type="character" w:customStyle="1" w:styleId="a4">
    <w:name w:val="íîìåð ñòðàíèöû"/>
    <w:basedOn w:val="a3"/>
  </w:style>
  <w:style w:type="character" w:customStyle="1" w:styleId="a5">
    <w:name w:val="Ãèïåðññûëêà"/>
    <w:basedOn w:val="a3"/>
    <w:rPr>
      <w:color w:val="0000FF"/>
      <w:u w:val="single"/>
    </w:rPr>
  </w:style>
  <w:style w:type="character" w:customStyle="1" w:styleId="a6">
    <w:name w:val="çíàê ñíîñêè"/>
    <w:basedOn w:val="a3"/>
    <w:rPr>
      <w:position w:val="6"/>
      <w:sz w:val="14"/>
    </w:rPr>
  </w:style>
  <w:style w:type="character" w:styleId="a7">
    <w:name w:val="Hyperlink"/>
    <w:semiHidden/>
    <w:rPr>
      <w:color w:val="000080"/>
      <w:u w:val="single"/>
    </w:rPr>
  </w:style>
  <w:style w:type="character" w:customStyle="1" w:styleId="FootnoteCharacters">
    <w:name w:val="Footnote Characters"/>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EndnoteCharacters">
    <w:name w:val="Endnote Characters"/>
  </w:style>
  <w:style w:type="paragraph" w:customStyle="1" w:styleId="Heading">
    <w:name w:val="Heading"/>
    <w:basedOn w:val="a"/>
    <w:next w:val="aa"/>
    <w:pPr>
      <w:keepNext/>
      <w:spacing w:before="240" w:after="120"/>
    </w:pPr>
    <w:rPr>
      <w:rFonts w:ascii="Liberation Sans" w:eastAsia="Nimbus Sans L" w:hAnsi="Liberation Sans" w:cs="Nimbus Sans L"/>
      <w:sz w:val="28"/>
      <w:szCs w:val="28"/>
    </w:rPr>
  </w:style>
  <w:style w:type="paragraph" w:styleId="aa">
    <w:name w:val="Body Text"/>
    <w:basedOn w:val="a"/>
    <w:semiHidden/>
    <w:pPr>
      <w:spacing w:after="120"/>
    </w:pPr>
  </w:style>
  <w:style w:type="paragraph" w:styleId="ab">
    <w:name w:val="List"/>
    <w:basedOn w:val="aa"/>
    <w:semiHidden/>
    <w:rPr>
      <w:rFonts w:cs="Nimbus Sans L"/>
    </w:rPr>
  </w:style>
  <w:style w:type="paragraph" w:customStyle="1" w:styleId="1">
    <w:name w:val="Название объе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customStyle="1" w:styleId="ac">
    <w:name w:val="Îáû÷íûé"/>
    <w:pPr>
      <w:widowControl w:val="0"/>
      <w:suppressAutoHyphens/>
      <w:autoSpaceDE w:val="0"/>
    </w:pPr>
    <w:rPr>
      <w:lang w:eastAsia="en-US" w:bidi="en-US"/>
    </w:rPr>
  </w:style>
  <w:style w:type="paragraph" w:customStyle="1" w:styleId="10">
    <w:name w:val="çàãîëîâîê 1"/>
    <w:basedOn w:val="ac"/>
    <w:next w:val="ac"/>
    <w:pPr>
      <w:keepNext/>
      <w:spacing w:before="240" w:after="60"/>
    </w:pPr>
    <w:rPr>
      <w:rFonts w:ascii="Arial" w:eastAsia="Arial" w:hAnsi="Arial" w:cs="Arial"/>
      <w:b/>
      <w:bCs/>
      <w:kern w:val="1"/>
      <w:sz w:val="28"/>
      <w:szCs w:val="28"/>
    </w:rPr>
  </w:style>
  <w:style w:type="paragraph" w:customStyle="1" w:styleId="2">
    <w:name w:val="çàãîëîâîê 2"/>
    <w:basedOn w:val="ac"/>
    <w:next w:val="ac"/>
    <w:pPr>
      <w:keepNext/>
      <w:numPr>
        <w:ilvl w:val="1"/>
        <w:numId w:val="1"/>
      </w:numPr>
      <w:spacing w:before="240" w:after="60"/>
      <w:outlineLvl w:val="1"/>
    </w:pPr>
    <w:rPr>
      <w:rFonts w:ascii="Arial" w:eastAsia="Arial" w:hAnsi="Arial" w:cs="Arial"/>
      <w:b/>
      <w:bCs/>
      <w:i/>
      <w:iCs/>
      <w:sz w:val="24"/>
      <w:szCs w:val="24"/>
    </w:rPr>
  </w:style>
  <w:style w:type="paragraph" w:customStyle="1" w:styleId="3">
    <w:name w:val="çàãîëîâîê 3"/>
    <w:basedOn w:val="ac"/>
    <w:next w:val="ac"/>
    <w:pPr>
      <w:keepNext/>
      <w:numPr>
        <w:ilvl w:val="2"/>
        <w:numId w:val="1"/>
      </w:numPr>
      <w:jc w:val="both"/>
      <w:outlineLvl w:val="2"/>
    </w:pPr>
    <w:rPr>
      <w:sz w:val="28"/>
      <w:szCs w:val="28"/>
    </w:rPr>
  </w:style>
  <w:style w:type="paragraph" w:customStyle="1" w:styleId="4">
    <w:name w:val="çàãîëîâîê 4"/>
    <w:basedOn w:val="ac"/>
    <w:next w:val="ac"/>
    <w:pPr>
      <w:keepNext/>
      <w:numPr>
        <w:ilvl w:val="3"/>
        <w:numId w:val="1"/>
      </w:numPr>
      <w:jc w:val="center"/>
      <w:outlineLvl w:val="3"/>
    </w:pPr>
    <w:rPr>
      <w:b/>
      <w:bCs/>
      <w:sz w:val="28"/>
      <w:szCs w:val="28"/>
    </w:rPr>
  </w:style>
  <w:style w:type="paragraph" w:customStyle="1" w:styleId="8">
    <w:name w:val="çàãîëîâîê 8"/>
    <w:basedOn w:val="ac"/>
    <w:next w:val="ac"/>
    <w:pPr>
      <w:spacing w:before="240" w:after="60"/>
    </w:pPr>
    <w:rPr>
      <w:rFonts w:ascii="Arial" w:eastAsia="Arial" w:hAnsi="Arial" w:cs="Arial"/>
      <w:i/>
      <w:iCs/>
    </w:rPr>
  </w:style>
  <w:style w:type="paragraph" w:customStyle="1" w:styleId="ad">
    <w:name w:val="Îñíîâíîé òåêñò"/>
    <w:basedOn w:val="ac"/>
    <w:pPr>
      <w:jc w:val="both"/>
    </w:pPr>
    <w:rPr>
      <w:rFonts w:ascii="Courier New" w:eastAsia="Courier New" w:hAnsi="Courier New" w:cs="Courier New"/>
      <w:b/>
      <w:bCs/>
      <w:sz w:val="24"/>
      <w:szCs w:val="24"/>
    </w:rPr>
  </w:style>
  <w:style w:type="paragraph" w:customStyle="1" w:styleId="20">
    <w:name w:val="Îñíîâíîé òåêñò 2"/>
    <w:basedOn w:val="ac"/>
    <w:pPr>
      <w:jc w:val="both"/>
    </w:pPr>
    <w:rPr>
      <w:sz w:val="24"/>
      <w:szCs w:val="24"/>
    </w:rPr>
  </w:style>
  <w:style w:type="paragraph" w:customStyle="1" w:styleId="Mystyle">
    <w:name w:val="Mystyle"/>
    <w:basedOn w:val="ad"/>
    <w:pPr>
      <w:spacing w:before="120"/>
      <w:ind w:firstLine="567"/>
    </w:pPr>
    <w:rPr>
      <w:rFonts w:ascii="Times New Roman" w:eastAsia="Times New Roman" w:hAnsi="Times New Roman" w:cs="Times New Roman"/>
      <w:b w:val="0"/>
      <w:bCs w:val="0"/>
    </w:rPr>
  </w:style>
  <w:style w:type="paragraph" w:customStyle="1" w:styleId="21">
    <w:name w:val="Îñíîâíîé òåêñò ñ îòñòóïîì 2"/>
    <w:basedOn w:val="ac"/>
    <w:pPr>
      <w:spacing w:line="240" w:lineRule="atLeast"/>
      <w:ind w:firstLine="320"/>
    </w:pPr>
    <w:rPr>
      <w:sz w:val="24"/>
      <w:szCs w:val="24"/>
    </w:rPr>
  </w:style>
  <w:style w:type="paragraph" w:customStyle="1" w:styleId="30">
    <w:name w:val="Îñíîâíîé òåêñò ñ îòñòóïîì 3"/>
    <w:basedOn w:val="ac"/>
    <w:pPr>
      <w:spacing w:before="40" w:line="240" w:lineRule="atLeast"/>
      <w:ind w:firstLine="360"/>
    </w:pPr>
    <w:rPr>
      <w:sz w:val="24"/>
      <w:szCs w:val="24"/>
    </w:rPr>
  </w:style>
  <w:style w:type="paragraph" w:customStyle="1" w:styleId="ae">
    <w:name w:val="Íèæíèé êîëîíòèòóë"/>
    <w:basedOn w:val="ac"/>
    <w:pPr>
      <w:tabs>
        <w:tab w:val="center" w:pos="4153"/>
        <w:tab w:val="right" w:pos="8306"/>
      </w:tabs>
    </w:pPr>
  </w:style>
  <w:style w:type="paragraph" w:customStyle="1" w:styleId="11">
    <w:name w:val="îãëàâëåíèå 1"/>
    <w:basedOn w:val="ac"/>
    <w:next w:val="ac"/>
  </w:style>
  <w:style w:type="paragraph" w:customStyle="1" w:styleId="22">
    <w:name w:val="îãëàâëåíèå 2"/>
    <w:basedOn w:val="ac"/>
    <w:next w:val="ac"/>
    <w:pPr>
      <w:tabs>
        <w:tab w:val="right" w:leader="dot" w:pos="4536"/>
      </w:tabs>
      <w:ind w:left="142"/>
    </w:pPr>
    <w:rPr>
      <w:sz w:val="10"/>
      <w:szCs w:val="10"/>
    </w:rPr>
  </w:style>
  <w:style w:type="paragraph" w:customStyle="1" w:styleId="31">
    <w:name w:val="îãëàâëåíèå 3"/>
    <w:basedOn w:val="ac"/>
    <w:next w:val="ac"/>
    <w:pPr>
      <w:ind w:left="400"/>
    </w:pPr>
  </w:style>
  <w:style w:type="paragraph" w:customStyle="1" w:styleId="40">
    <w:name w:val="îãëàâëåíèå 4"/>
    <w:basedOn w:val="ac"/>
    <w:next w:val="ac"/>
    <w:pPr>
      <w:ind w:left="600"/>
    </w:pPr>
  </w:style>
  <w:style w:type="paragraph" w:customStyle="1" w:styleId="5">
    <w:name w:val="îãëàâëåíèå 5"/>
    <w:basedOn w:val="ac"/>
    <w:next w:val="ac"/>
    <w:pPr>
      <w:ind w:left="800"/>
    </w:pPr>
  </w:style>
  <w:style w:type="paragraph" w:customStyle="1" w:styleId="6">
    <w:name w:val="îãëàâëåíèå 6"/>
    <w:basedOn w:val="ac"/>
    <w:next w:val="ac"/>
    <w:pPr>
      <w:ind w:left="1000"/>
    </w:pPr>
  </w:style>
  <w:style w:type="paragraph" w:customStyle="1" w:styleId="7">
    <w:name w:val="îãëàâëåíèå 7"/>
    <w:basedOn w:val="ac"/>
    <w:next w:val="ac"/>
    <w:pPr>
      <w:ind w:left="1200"/>
    </w:pPr>
  </w:style>
  <w:style w:type="paragraph" w:customStyle="1" w:styleId="80">
    <w:name w:val="îãëàâëåíèå 8"/>
    <w:basedOn w:val="ac"/>
    <w:next w:val="ac"/>
    <w:pPr>
      <w:ind w:left="1400"/>
    </w:pPr>
  </w:style>
  <w:style w:type="paragraph" w:customStyle="1" w:styleId="9">
    <w:name w:val="îãëàâëåíèå 9"/>
    <w:basedOn w:val="ac"/>
    <w:next w:val="ac"/>
    <w:pPr>
      <w:ind w:left="1600"/>
    </w:pPr>
  </w:style>
  <w:style w:type="paragraph" w:customStyle="1" w:styleId="af">
    <w:name w:val="Âåðõíèé êîëîíòèòóë"/>
    <w:basedOn w:val="ac"/>
    <w:pPr>
      <w:tabs>
        <w:tab w:val="center" w:pos="4153"/>
        <w:tab w:val="right" w:pos="8306"/>
      </w:tabs>
    </w:pPr>
  </w:style>
  <w:style w:type="paragraph" w:customStyle="1" w:styleId="af0">
    <w:name w:val="òåêñò ñíîñêè"/>
    <w:basedOn w:val="a"/>
    <w:rPr>
      <w:sz w:val="20"/>
      <w:szCs w:val="20"/>
      <w:lang w:val="ru-RU"/>
    </w:rPr>
  </w:style>
  <w:style w:type="paragraph" w:styleId="af1">
    <w:name w:val="footnote text"/>
    <w:basedOn w:val="a"/>
    <w:semiHidden/>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referatov.ru/" TargetMode="External"/><Relationship Id="rId3" Type="http://schemas.openxmlformats.org/officeDocument/2006/relationships/settings" Target="settings.xml"/><Relationship Id="rId7" Type="http://schemas.openxmlformats.org/officeDocument/2006/relationships/hyperlink" Target="http://www.refer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2014-04-26T14:40:00Z</dcterms:created>
  <dcterms:modified xsi:type="dcterms:W3CDTF">2014-04-26T14:40:00Z</dcterms:modified>
</cp:coreProperties>
</file>