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967" w:rsidRDefault="009502D4">
      <w:pPr>
        <w:widowControl w:val="0"/>
        <w:spacing w:before="120"/>
        <w:jc w:val="center"/>
        <w:rPr>
          <w:b/>
          <w:bCs/>
          <w:color w:val="000000"/>
          <w:sz w:val="32"/>
          <w:szCs w:val="32"/>
          <w:lang w:val="en-US"/>
        </w:rPr>
      </w:pPr>
      <w:r>
        <w:rPr>
          <w:b/>
          <w:bCs/>
          <w:color w:val="000000"/>
          <w:sz w:val="32"/>
          <w:szCs w:val="32"/>
        </w:rPr>
        <w:t>Как лучше платить за энергию</w:t>
      </w:r>
    </w:p>
    <w:p w:rsidR="008A6967" w:rsidRDefault="009502D4">
      <w:pPr>
        <w:widowControl w:val="0"/>
        <w:spacing w:before="120"/>
        <w:ind w:firstLine="567"/>
        <w:jc w:val="both"/>
        <w:rPr>
          <w:color w:val="000000"/>
          <w:sz w:val="24"/>
          <w:szCs w:val="24"/>
        </w:rPr>
      </w:pPr>
      <w:r>
        <w:rPr>
          <w:color w:val="000000"/>
          <w:sz w:val="24"/>
          <w:szCs w:val="24"/>
        </w:rPr>
        <w:t>Азамат ЖАНЭ, юрист. Правовое управление Администрации Президента Республики Адыгея и Кабинета Министров Республики Адыгея</w:t>
      </w:r>
    </w:p>
    <w:p w:rsidR="008A6967" w:rsidRDefault="009502D4">
      <w:pPr>
        <w:widowControl w:val="0"/>
        <w:spacing w:before="120"/>
        <w:ind w:firstLine="567"/>
        <w:jc w:val="both"/>
        <w:rPr>
          <w:color w:val="000000"/>
          <w:sz w:val="24"/>
          <w:szCs w:val="24"/>
        </w:rPr>
      </w:pPr>
      <w:r>
        <w:rPr>
          <w:color w:val="000000"/>
          <w:sz w:val="24"/>
          <w:szCs w:val="24"/>
        </w:rPr>
        <w:t>Систематически повторяющиеся события, связанные с отключением электрической энергии, подаваемой юридическим лицам, объясняются не только несовершенством организации инфраструктурного комплекса нашей страны и неспособностью абонентов расплатиться за потребленные ресурсы, но также и бессистемностью правовой базы, отсутствием единой концепции регулирования договорных аспектов энергоснабжения. Мало что меняет в существующем положении дел принятие пакета законодательных актов, направленных на «реформирование» электроэнергетики, но это предмет отдельного разговора.</w:t>
      </w:r>
    </w:p>
    <w:p w:rsidR="008A6967" w:rsidRDefault="009502D4">
      <w:pPr>
        <w:widowControl w:val="0"/>
        <w:spacing w:before="120"/>
        <w:ind w:firstLine="567"/>
        <w:jc w:val="both"/>
        <w:rPr>
          <w:color w:val="000000"/>
          <w:sz w:val="24"/>
          <w:szCs w:val="24"/>
        </w:rPr>
      </w:pPr>
      <w:r>
        <w:rPr>
          <w:color w:val="000000"/>
          <w:sz w:val="24"/>
          <w:szCs w:val="24"/>
        </w:rPr>
        <w:t xml:space="preserve">Особое внимание, на мой взгляд, необходимо уделить анализу наиболее проблемного вопроса договора энергоснабжения - вопроса оплаты потребленной организациями энергии. </w:t>
      </w:r>
    </w:p>
    <w:p w:rsidR="008A6967" w:rsidRDefault="009502D4">
      <w:pPr>
        <w:widowControl w:val="0"/>
        <w:spacing w:before="120"/>
        <w:ind w:firstLine="567"/>
        <w:jc w:val="both"/>
        <w:rPr>
          <w:color w:val="000000"/>
          <w:sz w:val="24"/>
          <w:szCs w:val="24"/>
        </w:rPr>
      </w:pPr>
      <w:r>
        <w:rPr>
          <w:color w:val="000000"/>
          <w:sz w:val="24"/>
          <w:szCs w:val="24"/>
        </w:rPr>
        <w:t xml:space="preserve">Согласно пункту 1 статьи 539 ГК РФ «абонент обязуется оплачивать принятую энергию». </w:t>
      </w:r>
    </w:p>
    <w:p w:rsidR="008A6967" w:rsidRDefault="009502D4">
      <w:pPr>
        <w:widowControl w:val="0"/>
        <w:spacing w:before="120"/>
        <w:ind w:firstLine="567"/>
        <w:jc w:val="both"/>
        <w:rPr>
          <w:color w:val="000000"/>
          <w:sz w:val="24"/>
          <w:szCs w:val="24"/>
        </w:rPr>
      </w:pPr>
      <w:r>
        <w:rPr>
          <w:color w:val="000000"/>
          <w:sz w:val="24"/>
          <w:szCs w:val="24"/>
        </w:rPr>
        <w:t xml:space="preserve">С осуществлением данной обязанности связано наибольшее число споров между потребителями и энергоснабжающими организациями. Одной из причин тому выступает иррациональность структуры договорных связей, заключающаяся в том, что многочисленные организации получают энергию через посреднические организации (например, «городские электросети»). То есть договорные связи устанавливаются по схеме субабонентских отношений: (региональная энергоснабжающая организация-абонент (горэлектросети)-субабонент (конечный потребитель)). При этом платежи осуществляются непосредственно лицом, в чье распоряжение поступила энергия (субабонент – абоненту, а абонент (горэлектросеть) – энергоснабжающей организации). </w:t>
      </w:r>
    </w:p>
    <w:p w:rsidR="008A6967" w:rsidRDefault="009502D4">
      <w:pPr>
        <w:widowControl w:val="0"/>
        <w:spacing w:before="120"/>
        <w:ind w:firstLine="567"/>
        <w:jc w:val="both"/>
        <w:rPr>
          <w:color w:val="000000"/>
          <w:sz w:val="24"/>
          <w:szCs w:val="24"/>
        </w:rPr>
      </w:pPr>
      <w:r>
        <w:rPr>
          <w:color w:val="000000"/>
          <w:sz w:val="24"/>
          <w:szCs w:val="24"/>
        </w:rPr>
        <w:t xml:space="preserve">Использование на практике подобной схемы сопряжено с определенными трудностями. Так, например, нередко возникает ситуация, при которой недобросовестность конечных потребителей-юридических лиц, выражающаяся в систематической неуплате денежных средств либо в занижении показателей приборов учета потребленной энергии, вызывает неплатежеспособность электросетевой организации в отношениях с энергоснабжающей организацией. Данное обстоятельство приводит к «отключению» горэлектросетей от энергопитания энергоснабжающей организации. Это, в свою очередь, делает невозможным энергоснабжение всех без исключения конечных потребителей, являющихся абонентами электросетевой организации, вне зависимости от их добросовестности (так называемые «веерные» отключения). </w:t>
      </w:r>
    </w:p>
    <w:p w:rsidR="008A6967" w:rsidRDefault="009502D4">
      <w:pPr>
        <w:widowControl w:val="0"/>
        <w:spacing w:before="120"/>
        <w:ind w:firstLine="567"/>
        <w:jc w:val="both"/>
        <w:rPr>
          <w:color w:val="000000"/>
          <w:sz w:val="24"/>
          <w:szCs w:val="24"/>
        </w:rPr>
      </w:pPr>
      <w:r>
        <w:rPr>
          <w:color w:val="000000"/>
          <w:sz w:val="24"/>
          <w:szCs w:val="24"/>
        </w:rPr>
        <w:t xml:space="preserve">Напрашивается вопрос: можно ли избежать подобной ситуации? На этот вопрос есть утвердительный ответ. </w:t>
      </w:r>
    </w:p>
    <w:p w:rsidR="008A6967" w:rsidRDefault="009502D4">
      <w:pPr>
        <w:widowControl w:val="0"/>
        <w:spacing w:before="120"/>
        <w:ind w:firstLine="567"/>
        <w:jc w:val="both"/>
        <w:rPr>
          <w:color w:val="000000"/>
          <w:sz w:val="24"/>
          <w:szCs w:val="24"/>
        </w:rPr>
      </w:pPr>
      <w:r>
        <w:rPr>
          <w:color w:val="000000"/>
          <w:sz w:val="24"/>
          <w:szCs w:val="24"/>
        </w:rPr>
        <w:t>Существует по меньшей мере два способа предотвращения описанной выше проблемы:</w:t>
      </w:r>
    </w:p>
    <w:p w:rsidR="008A6967" w:rsidRDefault="009502D4">
      <w:pPr>
        <w:widowControl w:val="0"/>
        <w:spacing w:before="120"/>
        <w:ind w:firstLine="567"/>
        <w:jc w:val="both"/>
        <w:rPr>
          <w:color w:val="000000"/>
          <w:sz w:val="24"/>
          <w:szCs w:val="24"/>
        </w:rPr>
      </w:pPr>
      <w:r>
        <w:rPr>
          <w:color w:val="000000"/>
          <w:sz w:val="24"/>
          <w:szCs w:val="24"/>
        </w:rPr>
        <w:t>1) путем создания технических предпосылок для ограничения подачи энергии лишь недобросовестным потребителям;</w:t>
      </w:r>
    </w:p>
    <w:p w:rsidR="008A6967" w:rsidRDefault="009502D4">
      <w:pPr>
        <w:widowControl w:val="0"/>
        <w:spacing w:before="120"/>
        <w:ind w:firstLine="567"/>
        <w:jc w:val="both"/>
        <w:rPr>
          <w:color w:val="000000"/>
          <w:sz w:val="24"/>
          <w:szCs w:val="24"/>
        </w:rPr>
      </w:pPr>
      <w:r>
        <w:rPr>
          <w:color w:val="000000"/>
          <w:sz w:val="24"/>
          <w:szCs w:val="24"/>
        </w:rPr>
        <w:t xml:space="preserve">2) путем создания договорной модели, при которой добросовестность горэлектросетей или аналогичных организаций не будет зависеть от своевременности сделанных в ее адрес платежей «конечным» потребителем-юридическим лицом. Проще говоря, сторонам следует отказаться от субабонентской конструкции построения договорных связей. </w:t>
      </w:r>
    </w:p>
    <w:p w:rsidR="008A6967" w:rsidRDefault="009502D4">
      <w:pPr>
        <w:widowControl w:val="0"/>
        <w:spacing w:before="120"/>
        <w:ind w:firstLine="567"/>
        <w:jc w:val="both"/>
        <w:rPr>
          <w:color w:val="000000"/>
          <w:sz w:val="24"/>
          <w:szCs w:val="24"/>
        </w:rPr>
      </w:pPr>
      <w:r>
        <w:rPr>
          <w:color w:val="000000"/>
          <w:sz w:val="24"/>
          <w:szCs w:val="24"/>
        </w:rPr>
        <w:t xml:space="preserve">Так, Б. Сейнароев уже предлагал изменить структуру договорных отношений энергоснабжения следующим образом: «В качестве энергоснабжающей организации будут выступать региональные АО «Энерго», с которыми конечные потребители будут непосредственно рассчитываться за потребленную энергию. Поскольку же линии электропередачи находятся в ведении горэлектросети или аналогичных организаций, с ними энергоснабжающая организация будет заключать возмездный договор на передачу энергии потребителю, а не договор купли-продажи энергии» </w:t>
      </w:r>
      <w:r>
        <w:rPr>
          <w:color w:val="000000"/>
          <w:sz w:val="24"/>
          <w:szCs w:val="24"/>
          <w:vertAlign w:val="superscript"/>
        </w:rPr>
        <w:t>[1]</w:t>
      </w:r>
      <w:r>
        <w:rPr>
          <w:color w:val="000000"/>
          <w:sz w:val="24"/>
          <w:szCs w:val="24"/>
        </w:rPr>
        <w:t xml:space="preserve">. </w:t>
      </w:r>
    </w:p>
    <w:p w:rsidR="008A6967" w:rsidRDefault="009502D4">
      <w:pPr>
        <w:widowControl w:val="0"/>
        <w:spacing w:before="120"/>
        <w:ind w:firstLine="567"/>
        <w:jc w:val="both"/>
        <w:rPr>
          <w:color w:val="000000"/>
          <w:sz w:val="24"/>
          <w:szCs w:val="24"/>
        </w:rPr>
      </w:pPr>
      <w:r>
        <w:rPr>
          <w:color w:val="000000"/>
          <w:sz w:val="24"/>
          <w:szCs w:val="24"/>
        </w:rPr>
        <w:t xml:space="preserve">Такая структура договорных связей представляется наиболее оптимальной и по мнению Л. Андреевой. Однако «возникает вопрос о правовой природе заключаемых договоров. По этому вопросу нет единой точки зрения. Между тем верная квалификация правоотношений в энергоснабжении позволит правильно применить к заключаемым договорам правила о том или ином договоре. Так, ряд специалистов полагают, что если сетевладелец примет энергию для передачи ее другой организации без приобретения продукции в собственность (оперативное управление), то такие договоры следует отнести к договорам перевозки. Однако представляется, что заключаемые договоры между энергоснабжающими организациями и посредниками-сетевладельцами на передачу энергии абонентам являются договором возмездного оказания услуг, носящим публичный характер, что необходимо отразить в нормативном порядке. Соответственно правила гл. 39 ГК должны применяться к таким договорам с учетом публичного характера деятельности посредников - сете владельцев» </w:t>
      </w:r>
      <w:r>
        <w:rPr>
          <w:color w:val="000000"/>
          <w:sz w:val="24"/>
          <w:szCs w:val="24"/>
          <w:vertAlign w:val="superscript"/>
        </w:rPr>
        <w:t>[2]</w:t>
      </w:r>
      <w:r>
        <w:rPr>
          <w:color w:val="000000"/>
          <w:sz w:val="24"/>
          <w:szCs w:val="24"/>
        </w:rPr>
        <w:t xml:space="preserve">. </w:t>
      </w:r>
    </w:p>
    <w:p w:rsidR="008A6967" w:rsidRDefault="009502D4">
      <w:pPr>
        <w:widowControl w:val="0"/>
        <w:spacing w:before="120"/>
        <w:ind w:firstLine="567"/>
        <w:jc w:val="both"/>
        <w:rPr>
          <w:color w:val="000000"/>
          <w:sz w:val="24"/>
          <w:szCs w:val="24"/>
        </w:rPr>
      </w:pPr>
      <w:r>
        <w:rPr>
          <w:color w:val="000000"/>
          <w:sz w:val="24"/>
          <w:szCs w:val="24"/>
        </w:rPr>
        <w:t xml:space="preserve">Также отношения между абонентом и горэлектросетями возможны в форме договора аренды. В данном случае функции электросетевой организации будут сводиться к возмездному предоставлению во временное владение и пользование или во временное пользование абоненту принадлежащих ей электрических сетей, посредством которых абонент будет получать электричество от энергоснабжающей организации. </w:t>
      </w:r>
    </w:p>
    <w:p w:rsidR="008A6967" w:rsidRDefault="009502D4">
      <w:pPr>
        <w:widowControl w:val="0"/>
        <w:spacing w:before="120"/>
        <w:ind w:firstLine="567"/>
        <w:jc w:val="both"/>
        <w:rPr>
          <w:color w:val="000000"/>
          <w:sz w:val="24"/>
          <w:szCs w:val="24"/>
        </w:rPr>
      </w:pPr>
      <w:r>
        <w:rPr>
          <w:color w:val="000000"/>
          <w:sz w:val="24"/>
          <w:szCs w:val="24"/>
        </w:rPr>
        <w:t xml:space="preserve">Необходимо отметить, что организации, потребляющие энергию, зачастую вообще не прибегают к договорной конструкции энергоснабжения. Это характерно для договора аренды зданий и сооружений, когда стоимость потребленной арендатором энергии включается в состав арендной платы, вносимой арендодателю (юридическому или физическому лицу), который, в свою очередь, выступает абонентом по договору энергоснабжения с энергоснабжающей организацией. </w:t>
      </w:r>
    </w:p>
    <w:p w:rsidR="008A6967" w:rsidRDefault="009502D4">
      <w:pPr>
        <w:widowControl w:val="0"/>
        <w:spacing w:before="120"/>
        <w:ind w:firstLine="567"/>
        <w:jc w:val="both"/>
        <w:rPr>
          <w:color w:val="000000"/>
          <w:sz w:val="24"/>
          <w:szCs w:val="24"/>
        </w:rPr>
      </w:pPr>
      <w:r>
        <w:rPr>
          <w:color w:val="000000"/>
          <w:sz w:val="24"/>
          <w:szCs w:val="24"/>
        </w:rPr>
        <w:t xml:space="preserve">Помимо выбора договорной конструкции энергоснабжения определенную актуальность в контексте рассматриваемой проблемы представляет вопрос о порядке расчетов за потребленную энергию. </w:t>
      </w:r>
    </w:p>
    <w:p w:rsidR="008A6967" w:rsidRDefault="009502D4">
      <w:pPr>
        <w:widowControl w:val="0"/>
        <w:spacing w:before="120"/>
        <w:ind w:firstLine="567"/>
        <w:jc w:val="both"/>
        <w:rPr>
          <w:color w:val="000000"/>
          <w:sz w:val="24"/>
          <w:szCs w:val="24"/>
        </w:rPr>
      </w:pPr>
      <w:r>
        <w:rPr>
          <w:color w:val="000000"/>
          <w:sz w:val="24"/>
          <w:szCs w:val="24"/>
        </w:rPr>
        <w:t>Как показывает практика даже наличие у добросовестной организации-потребителя необходимых для оплаты энергии денежных средств, не является залогом своевременного исполнения обязательства по оплате потребленной энергии. Определенную отрицательную роль в этом играет несовершенство (нечеткость) нормативно-правовой базы, представленной:</w:t>
      </w:r>
    </w:p>
    <w:p w:rsidR="008A6967" w:rsidRDefault="009502D4">
      <w:pPr>
        <w:widowControl w:val="0"/>
        <w:spacing w:before="120"/>
        <w:ind w:firstLine="567"/>
        <w:jc w:val="both"/>
        <w:rPr>
          <w:color w:val="000000"/>
          <w:sz w:val="24"/>
          <w:szCs w:val="24"/>
        </w:rPr>
      </w:pPr>
      <w:r>
        <w:rPr>
          <w:color w:val="000000"/>
          <w:sz w:val="24"/>
          <w:szCs w:val="24"/>
        </w:rPr>
        <w:t>1) пунктом 2 статьи 544 ГК РФ;</w:t>
      </w:r>
    </w:p>
    <w:p w:rsidR="008A6967" w:rsidRDefault="009502D4">
      <w:pPr>
        <w:widowControl w:val="0"/>
        <w:spacing w:before="120"/>
        <w:ind w:firstLine="567"/>
        <w:jc w:val="both"/>
        <w:rPr>
          <w:color w:val="000000"/>
          <w:sz w:val="24"/>
          <w:szCs w:val="24"/>
        </w:rPr>
      </w:pPr>
      <w:r>
        <w:rPr>
          <w:color w:val="000000"/>
          <w:sz w:val="24"/>
          <w:szCs w:val="24"/>
        </w:rPr>
        <w:t xml:space="preserve">2) Указом Президента РФ от 18 сентября 1992 года № 1091 «О мерах по улучшению расчетов за продукцию топливно-энергетического комплекса» </w:t>
      </w:r>
      <w:r>
        <w:rPr>
          <w:color w:val="000000"/>
          <w:sz w:val="24"/>
          <w:szCs w:val="24"/>
          <w:vertAlign w:val="superscript"/>
        </w:rPr>
        <w:t>[3]</w:t>
      </w:r>
      <w:r>
        <w:rPr>
          <w:color w:val="000000"/>
          <w:sz w:val="24"/>
          <w:szCs w:val="24"/>
        </w:rPr>
        <w:t xml:space="preserve"> (далее - Указ);</w:t>
      </w:r>
    </w:p>
    <w:p w:rsidR="008A6967" w:rsidRDefault="009502D4">
      <w:pPr>
        <w:widowControl w:val="0"/>
        <w:spacing w:before="120"/>
        <w:ind w:firstLine="567"/>
        <w:jc w:val="both"/>
        <w:rPr>
          <w:color w:val="000000"/>
          <w:sz w:val="24"/>
          <w:szCs w:val="24"/>
        </w:rPr>
      </w:pPr>
      <w:r>
        <w:rPr>
          <w:color w:val="000000"/>
          <w:sz w:val="24"/>
          <w:szCs w:val="24"/>
        </w:rPr>
        <w:t xml:space="preserve">3) постановлением Правительства Российской Федерации от 4 апреля 2000 года № 294 «Об утверждении Порядка расчетов за электрическую, тепловую энергию и природный газ». </w:t>
      </w:r>
      <w:r>
        <w:rPr>
          <w:color w:val="000000"/>
          <w:sz w:val="24"/>
          <w:szCs w:val="24"/>
          <w:vertAlign w:val="superscript"/>
        </w:rPr>
        <w:t>[4]</w:t>
      </w:r>
    </w:p>
    <w:p w:rsidR="008A6967" w:rsidRDefault="009502D4">
      <w:pPr>
        <w:widowControl w:val="0"/>
        <w:spacing w:before="120"/>
        <w:ind w:firstLine="567"/>
        <w:jc w:val="both"/>
        <w:rPr>
          <w:color w:val="000000"/>
          <w:sz w:val="24"/>
          <w:szCs w:val="24"/>
        </w:rPr>
      </w:pPr>
      <w:r>
        <w:rPr>
          <w:color w:val="000000"/>
          <w:sz w:val="24"/>
          <w:szCs w:val="24"/>
        </w:rPr>
        <w:t>4) иными правовыми актами.</w:t>
      </w:r>
    </w:p>
    <w:p w:rsidR="008A6967" w:rsidRDefault="009502D4">
      <w:pPr>
        <w:widowControl w:val="0"/>
        <w:spacing w:before="120"/>
        <w:ind w:firstLine="567"/>
        <w:jc w:val="both"/>
        <w:rPr>
          <w:color w:val="000000"/>
          <w:sz w:val="24"/>
          <w:szCs w:val="24"/>
        </w:rPr>
      </w:pPr>
      <w:r>
        <w:rPr>
          <w:color w:val="000000"/>
          <w:sz w:val="24"/>
          <w:szCs w:val="24"/>
        </w:rPr>
        <w:t xml:space="preserve">Согласно пункту 2 статьи 544 ГК РФ порядок расчетов за энергию определяется законом, иными правовыми актами или соглашением сторон. </w:t>
      </w:r>
    </w:p>
    <w:p w:rsidR="008A6967" w:rsidRDefault="009502D4">
      <w:pPr>
        <w:widowControl w:val="0"/>
        <w:spacing w:before="120"/>
        <w:ind w:firstLine="567"/>
        <w:jc w:val="both"/>
        <w:rPr>
          <w:color w:val="000000"/>
          <w:sz w:val="24"/>
          <w:szCs w:val="24"/>
        </w:rPr>
      </w:pPr>
      <w:r>
        <w:rPr>
          <w:color w:val="000000"/>
          <w:sz w:val="24"/>
          <w:szCs w:val="24"/>
        </w:rPr>
        <w:t>Исходя из смысла данной нормы, следует, что законы, а также перечисленные подзаконные акты Президента РФ и Правительства РФ, регулирующие порядок расчетов за потребленную энергию, применимы, если иной порядок не предусмотрен соглашением сторон. То есть стороны договора энергоснабжения вправе предусмотреть любую из форм расчетов, предусмотренных действующим законодательством. Если же порядок (форма) расчетов сторонами в договоре энергоснабжения не предусмотрен, то он определяется законом или иными правовыми актами. В данной ситуации у сторон договора могут возникнуть определенные сложности с правоприменением.</w:t>
      </w:r>
    </w:p>
    <w:p w:rsidR="008A6967" w:rsidRDefault="009502D4">
      <w:pPr>
        <w:widowControl w:val="0"/>
        <w:spacing w:before="120"/>
        <w:ind w:firstLine="567"/>
        <w:jc w:val="both"/>
        <w:rPr>
          <w:color w:val="000000"/>
          <w:sz w:val="24"/>
          <w:szCs w:val="24"/>
        </w:rPr>
      </w:pPr>
      <w:r>
        <w:rPr>
          <w:color w:val="000000"/>
          <w:sz w:val="24"/>
          <w:szCs w:val="24"/>
        </w:rPr>
        <w:t xml:space="preserve">Так, Указ устанавливает, что расчеты с потребителями, кроме бюджетных организаций и населения, за отпускаемые энерго- и газоснабжающими организациями электрическую и тепловую энергию и газ, ... производятся на основании показателей измерительных приборов и действующих тарифов без акцепта плательщиков. </w:t>
      </w:r>
    </w:p>
    <w:p w:rsidR="008A6967" w:rsidRDefault="009502D4">
      <w:pPr>
        <w:widowControl w:val="0"/>
        <w:spacing w:before="120"/>
        <w:ind w:firstLine="567"/>
        <w:jc w:val="both"/>
        <w:rPr>
          <w:color w:val="000000"/>
          <w:sz w:val="24"/>
          <w:szCs w:val="24"/>
        </w:rPr>
      </w:pPr>
      <w:r>
        <w:rPr>
          <w:color w:val="000000"/>
          <w:sz w:val="24"/>
          <w:szCs w:val="24"/>
        </w:rPr>
        <w:t xml:space="preserve">Согласно ГК РФ безакцептное списание денежных средств осуществляется путем представления инкассового поручения банку-эмитенту, который обязуется осуществить за счет клиента действия по получению от плательщика платежа (пункт 1 статьи 874 ГК РФ). </w:t>
      </w:r>
    </w:p>
    <w:p w:rsidR="008A6967" w:rsidRDefault="009502D4">
      <w:pPr>
        <w:widowControl w:val="0"/>
        <w:spacing w:before="120"/>
        <w:ind w:firstLine="567"/>
        <w:jc w:val="both"/>
        <w:rPr>
          <w:color w:val="000000"/>
          <w:sz w:val="24"/>
          <w:szCs w:val="24"/>
        </w:rPr>
      </w:pPr>
      <w:r>
        <w:rPr>
          <w:color w:val="000000"/>
          <w:sz w:val="24"/>
          <w:szCs w:val="24"/>
        </w:rPr>
        <w:t xml:space="preserve">С введением в действие части 2 ГК РФ применение подобного порядка расчетов стало достаточно проблематичным. Ссылаясь на статью 854 ГК РФ, кредитные организации зачастую отказываются оплачивать представляемые энергоснабжающими организациями платежные (инкассовые) поручения. При этом свои действия они мотивируют следующим. </w:t>
      </w:r>
    </w:p>
    <w:p w:rsidR="008A6967" w:rsidRDefault="009502D4">
      <w:pPr>
        <w:widowControl w:val="0"/>
        <w:spacing w:before="120"/>
        <w:ind w:firstLine="567"/>
        <w:jc w:val="both"/>
        <w:rPr>
          <w:color w:val="000000"/>
          <w:sz w:val="24"/>
          <w:szCs w:val="24"/>
        </w:rPr>
      </w:pPr>
      <w:r>
        <w:rPr>
          <w:color w:val="000000"/>
          <w:sz w:val="24"/>
          <w:szCs w:val="24"/>
        </w:rPr>
        <w:t>Согласно статье 854 ГК РФ без распоряжения клиента списание денежных средств, находящихся на счете, допускается...в случаях, установленных законом или предусмотренных договором между банком и клиентом. Законом же (гражданским законодательством), по смыслу статьи 3 ГК РФ, являются принятые в соответствии с ГК РФ федеральные законы. Вышеупомянутый Указ к данной категории нормативных правовых актов не относится, ввиду чего на основании пункта 5 статьи 3 ГК РФ применению не подлежит.</w:t>
      </w:r>
    </w:p>
    <w:p w:rsidR="008A6967" w:rsidRDefault="009502D4">
      <w:pPr>
        <w:widowControl w:val="0"/>
        <w:spacing w:before="120"/>
        <w:ind w:firstLine="567"/>
        <w:jc w:val="both"/>
        <w:rPr>
          <w:color w:val="000000"/>
          <w:sz w:val="24"/>
          <w:szCs w:val="24"/>
        </w:rPr>
      </w:pPr>
      <w:r>
        <w:rPr>
          <w:color w:val="000000"/>
          <w:sz w:val="24"/>
          <w:szCs w:val="24"/>
        </w:rPr>
        <w:t xml:space="preserve">Думается, что данная позиция представляется ошибочной, а действия банков по возврату инкассовых поручений без удовлетворения – не соответствующими закону. </w:t>
      </w:r>
    </w:p>
    <w:p w:rsidR="008A6967" w:rsidRDefault="009502D4">
      <w:pPr>
        <w:widowControl w:val="0"/>
        <w:spacing w:before="120"/>
        <w:ind w:firstLine="567"/>
        <w:jc w:val="both"/>
        <w:rPr>
          <w:color w:val="000000"/>
          <w:sz w:val="24"/>
          <w:szCs w:val="24"/>
        </w:rPr>
      </w:pPr>
      <w:r>
        <w:rPr>
          <w:color w:val="000000"/>
          <w:sz w:val="24"/>
          <w:szCs w:val="24"/>
        </w:rPr>
        <w:t xml:space="preserve">Такой вывод следует из содержания статьи 4 Федерального закона от 26 января 1996 года № 15-ФЗ «О введении в действие части второй Гражданского кодекса Российской Федерации» </w:t>
      </w:r>
      <w:r>
        <w:rPr>
          <w:color w:val="000000"/>
          <w:sz w:val="24"/>
          <w:szCs w:val="24"/>
          <w:vertAlign w:val="superscript"/>
        </w:rPr>
        <w:t>[5]</w:t>
      </w:r>
      <w:r>
        <w:rPr>
          <w:color w:val="000000"/>
          <w:sz w:val="24"/>
          <w:szCs w:val="24"/>
        </w:rPr>
        <w:t xml:space="preserve">, согласно которой изданные до введения в действие части второй Кодекса нормативные акты...Президента Российской Федерации...по вопросам, которые согласно части второй Кодекса могут регулироваться только федеральными законами, действуют впредь до введения в действие соответствующих законов. Это означает, что Указ, устанавливающий безакцептный порядок списания денежных средств со счета абонента за потребленную им энергию, подлежит применению впредь до принятия по данному вопросу соответствующего закона. </w:t>
      </w:r>
    </w:p>
    <w:p w:rsidR="008A6967" w:rsidRDefault="009502D4">
      <w:pPr>
        <w:widowControl w:val="0"/>
        <w:spacing w:before="120"/>
        <w:ind w:firstLine="567"/>
        <w:jc w:val="both"/>
        <w:rPr>
          <w:color w:val="000000"/>
          <w:sz w:val="24"/>
          <w:szCs w:val="24"/>
        </w:rPr>
      </w:pPr>
      <w:r>
        <w:rPr>
          <w:color w:val="000000"/>
          <w:sz w:val="24"/>
          <w:szCs w:val="24"/>
        </w:rPr>
        <w:t xml:space="preserve">В данной связи не совсем оправдано появление на свет противоречащего вышеупомянутому Указу Порядка расчетов за электрическую, тепловую энергию и природный газ, утвержденного постановлением Правительства Российской Федерации от 4 апреля 2000 года № 294 </w:t>
      </w:r>
      <w:r>
        <w:rPr>
          <w:color w:val="000000"/>
          <w:sz w:val="24"/>
          <w:szCs w:val="24"/>
          <w:vertAlign w:val="superscript"/>
        </w:rPr>
        <w:t>[6]</w:t>
      </w:r>
      <w:r>
        <w:rPr>
          <w:color w:val="000000"/>
          <w:sz w:val="24"/>
          <w:szCs w:val="24"/>
        </w:rPr>
        <w:t xml:space="preserve">. Согласно данному нормативному акту, начиная с 1 апреля 2000 года, если иное не установлено договором энергоснабжения, оплата потребителями (юридическими лицами, за исключением бюджетных учреждений, деятельность которых финансируется из соответствующего бюджета на основе сметы доходов и расходов, и казенных предприятий) электрической, тепловой энергии и природного газа на территории РФ осуществляется с применением авансовых платежей или расчетов по аккредитиву в порядке, устанавливаемом соглашением между потребителем и энергоснабжающей организацией. </w:t>
      </w:r>
    </w:p>
    <w:p w:rsidR="008A6967" w:rsidRDefault="009502D4">
      <w:pPr>
        <w:widowControl w:val="0"/>
        <w:spacing w:before="120"/>
        <w:ind w:firstLine="567"/>
        <w:jc w:val="both"/>
        <w:rPr>
          <w:color w:val="000000"/>
          <w:sz w:val="24"/>
          <w:szCs w:val="24"/>
        </w:rPr>
      </w:pPr>
      <w:r>
        <w:rPr>
          <w:color w:val="000000"/>
          <w:sz w:val="24"/>
          <w:szCs w:val="24"/>
        </w:rPr>
        <w:t xml:space="preserve">Подводя итог изложенному, следует отметить, что решение хозяйственного аспекта освещенной проблемы неплатежей за потребленную энергию, требует серьезных изменений в экономической организации всего инфраструктурного комплекса, частью которого является система энергоснабжения. На всеобъемлющее решение этой трудоемкой задачи может уйти немало времени. Вместе с тем решение правовой стороны дела просматривается достаточно четко и может быть реально обеспечено законодателем в сжатые сроки путем внесения в ГК РФ необходимых изменений. </w:t>
      </w:r>
    </w:p>
    <w:p w:rsidR="008A6967" w:rsidRDefault="009502D4">
      <w:pPr>
        <w:widowControl w:val="0"/>
        <w:spacing w:before="120"/>
        <w:jc w:val="center"/>
        <w:rPr>
          <w:b/>
          <w:bCs/>
          <w:color w:val="000000"/>
          <w:sz w:val="28"/>
          <w:szCs w:val="28"/>
        </w:rPr>
      </w:pPr>
      <w:r>
        <w:rPr>
          <w:b/>
          <w:bCs/>
          <w:color w:val="000000"/>
          <w:sz w:val="28"/>
          <w:szCs w:val="28"/>
        </w:rPr>
        <w:t>Список литературы</w:t>
      </w:r>
    </w:p>
    <w:p w:rsidR="008A6967" w:rsidRDefault="009502D4">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Сейнароев Б.М. Кто платит за электроэнергию? // Эж-Юрист. 2000. № 44.</w:t>
      </w:r>
    </w:p>
    <w:p w:rsidR="008A6967" w:rsidRDefault="009502D4">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См.: Л. Андреева. Энергоснабжению - четкое правовое регулирование. // «Российская юстиция». 2001. № 8. С.37.</w:t>
      </w:r>
    </w:p>
    <w:p w:rsidR="008A6967" w:rsidRDefault="009502D4">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Собрании актов Президента и Правительства Российской Федерации. 1992 г. № 13. Ст. 1006.</w:t>
      </w:r>
    </w:p>
    <w:p w:rsidR="008A6967" w:rsidRDefault="009502D4">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СЗ РФ. 2000 г. № 15. Ст. 1594.</w:t>
      </w:r>
    </w:p>
    <w:p w:rsidR="008A6967" w:rsidRDefault="009502D4">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СЗ РФ. 1996 г. № 5. Ст. 411. </w:t>
      </w:r>
    </w:p>
    <w:p w:rsidR="008A6967" w:rsidRDefault="009502D4">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СЗ РФ. 2000 г. № 15. Ст.1594.</w:t>
      </w:r>
      <w:bookmarkStart w:id="0" w:name="_GoBack"/>
      <w:bookmarkEnd w:id="0"/>
    </w:p>
    <w:sectPr w:rsidR="008A696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2D4"/>
    <w:rsid w:val="0081058F"/>
    <w:rsid w:val="008A6967"/>
    <w:rsid w:val="009502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DABA27-1B41-42DB-BB10-EE59F2C7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7001</Words>
  <Characters>3992</Characters>
  <Application>Microsoft Office Word</Application>
  <DocSecurity>0</DocSecurity>
  <Lines>33</Lines>
  <Paragraphs>21</Paragraphs>
  <ScaleCrop>false</ScaleCrop>
  <Company>PERSONAL COMPUTERS</Company>
  <LinksUpToDate>false</LinksUpToDate>
  <CharactersWithSpaces>10972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лучше платить за энергию</dc:title>
  <dc:subject/>
  <dc:creator>USER</dc:creator>
  <cp:keywords/>
  <dc:description/>
  <cp:lastModifiedBy>admin</cp:lastModifiedBy>
  <cp:revision>2</cp:revision>
  <dcterms:created xsi:type="dcterms:W3CDTF">2014-01-26T13:20:00Z</dcterms:created>
  <dcterms:modified xsi:type="dcterms:W3CDTF">2014-01-26T13:20:00Z</dcterms:modified>
</cp:coreProperties>
</file>