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A5" w:rsidRDefault="00D47BB5">
      <w:pPr>
        <w:pStyle w:val="1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Кавинтон в лечении дисциркуляторных церебральных расстройств у пациентов с ожирением</w:t>
      </w:r>
    </w:p>
    <w:p w:rsidR="002B08A5" w:rsidRDefault="002B08A5"/>
    <w:p w:rsidR="002B08A5" w:rsidRDefault="00D47BB5">
      <w:pPr>
        <w:pStyle w:val="13"/>
        <w:jc w:val="left"/>
      </w:pPr>
      <w:r>
        <w:rPr>
          <w:b/>
          <w:bCs/>
        </w:rPr>
        <w:t>Введение</w:t>
      </w:r>
      <w:r>
        <w:rPr>
          <w:b/>
          <w:bCs/>
        </w:rPr>
        <w:br/>
        <w:t>   </w:t>
      </w:r>
      <w:r>
        <w:t>Ожирение – проблема, которая по мере приближения конца тысячелетия в количественном отношении, вероятно, будет только увеличиваться. Распространенность ожирения растет во всем мире. Контроль массы тела является одним из главных приоритетов здравоохранения, намеченных на будущее.</w:t>
      </w:r>
      <w:r>
        <w:br/>
        <w:t>   Инициатива "Здоровые люди в 2000 году", выдвинутая в США, ставит целью уменьшение числа лиц с избыточной массой тела на 23%. Однако к середине 90-х годов доля лиц с избыточной массой тела в популяции возросла до 30% [1, 2]. По данным Mallar и соавт. [3], в Великобритании и США среди мужчин распространенность избыточной массы тела и ожирения резко возрастает в возрастных группах 20–24 года и 45–54 года, у женщин прибавка массы тела продолжается и в старческом возрасте.</w:t>
      </w:r>
      <w:r>
        <w:br/>
        <w:t>   Существует тесная вязь между ожирением, атеросклерозом и артериальной гипертензией. С увеличением числа сопутствующих заболеваний суммарный риск осложнений растет [4].</w:t>
      </w:r>
      <w:r>
        <w:br/>
        <w:t>   В 1988 г. был введен термин "синдром X", или метаболический синдром, который подразумевает артериальную гипертензию, гиперлипедемию, гиперхолестеринемию, повышение толерантности к глюкозе (вплоть до манифестного сахарного диабета), инсулинорезистентность, "верхний" тип ожирения. У лиц с синдромом "X" повышен риск развития цереброваскулярных заболеваний, что резко ухудшает качество жизни и обусловливает потерю трудоспособности пациентов [2, 5, 6].</w:t>
      </w:r>
      <w:r>
        <w:br/>
        <w:t>   Целью нашего исследования явилось определение перспективного применения кавинтона в лечении дисциркуляторной энцефалопатии у пациентов с ожирением.   </w:t>
      </w:r>
    </w:p>
    <w:p w:rsidR="002B08A5" w:rsidRDefault="00D47BB5">
      <w:pPr>
        <w:pStyle w:val="13"/>
        <w:jc w:val="left"/>
        <w:rPr>
          <w:b/>
          <w:bCs/>
        </w:rPr>
      </w:pPr>
      <w:r>
        <w:rPr>
          <w:b/>
          <w:bCs/>
        </w:rPr>
        <w:t>Таблица 1. Спектр сопутствующих заболеваний у больных, включенных в исследование</w:t>
      </w:r>
    </w:p>
    <w:tbl>
      <w:tblPr>
        <w:tblW w:w="0" w:type="auto"/>
        <w:tblInd w:w="-6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Сопутствующая патология</w:t>
            </w:r>
          </w:p>
        </w:tc>
        <w:tc>
          <w:tcPr>
            <w:tcW w:w="6390" w:type="dxa"/>
            <w:gridSpan w:val="3"/>
          </w:tcPr>
          <w:p w:rsidR="002B08A5" w:rsidRDefault="00D47BB5">
            <w:pPr>
              <w:pStyle w:val="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 (основная)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II (контроль - 1)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III (контроль - 2)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Артериальная гипертензия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40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37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28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ИБС (стенокардия напряжения)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60</w:t>
            </w:r>
          </w:p>
        </w:tc>
        <w:tc>
          <w:tcPr>
            <w:tcW w:w="2130" w:type="dxa"/>
          </w:tcPr>
          <w:p w:rsidR="002B08A5" w:rsidRDefault="00D47BB5">
            <w:r>
              <w:t>62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Нарушение толерантности к глюкозе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27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24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12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Сахарный диабет II типа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12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-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Дислипидемия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49</w:t>
            </w:r>
          </w:p>
        </w:tc>
      </w:tr>
      <w:tr w:rsidR="002B08A5">
        <w:tc>
          <w:tcPr>
            <w:tcW w:w="8520" w:type="dxa"/>
            <w:gridSpan w:val="4"/>
          </w:tcPr>
          <w:p w:rsidR="002B08A5" w:rsidRDefault="00D47BB5">
            <w:pPr>
              <w:jc w:val="both"/>
            </w:pPr>
            <w:r>
              <w:t>Избыточная масса тела: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- ожирение I степени (ИМТ 25,0-29,9)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18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-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- ожирение IIА степени (ИМТ 30,0-34,9)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32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15</w:t>
            </w:r>
          </w:p>
        </w:tc>
        <w:tc>
          <w:tcPr>
            <w:tcW w:w="2130" w:type="dxa"/>
          </w:tcPr>
          <w:p w:rsidR="002B08A5" w:rsidRDefault="00D47BB5">
            <w:r>
              <w:t>-</w:t>
            </w:r>
          </w:p>
        </w:tc>
      </w:tr>
      <w:tr w:rsidR="002B08A5">
        <w:tc>
          <w:tcPr>
            <w:tcW w:w="2130" w:type="dxa"/>
          </w:tcPr>
          <w:p w:rsidR="002B08A5" w:rsidRDefault="00D47BB5">
            <w:pPr>
              <w:jc w:val="both"/>
            </w:pPr>
            <w:r>
              <w:t>- ожирение IIБ степени (ИМТ 35,0-39,9)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15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-</w:t>
            </w:r>
          </w:p>
        </w:tc>
      </w:tr>
      <w:tr w:rsidR="002B08A5">
        <w:tc>
          <w:tcPr>
            <w:tcW w:w="8520" w:type="dxa"/>
            <w:gridSpan w:val="4"/>
          </w:tcPr>
          <w:p w:rsidR="002B08A5" w:rsidRDefault="00D47BB5">
            <w:pPr>
              <w:jc w:val="both"/>
            </w:pPr>
            <w:r>
              <w:t>Примечание. ИМТ - индекс массы тела.</w:t>
            </w:r>
          </w:p>
        </w:tc>
      </w:tr>
    </w:tbl>
    <w:p w:rsidR="002B08A5" w:rsidRDefault="00D47BB5">
      <w:pPr>
        <w:pStyle w:val="13"/>
        <w:jc w:val="left"/>
      </w:pPr>
      <w:r>
        <w:t>Рис. 1. Зависимость исходного неврологического дефицита от ОТ.</w:t>
      </w:r>
    </w:p>
    <w:p w:rsidR="002B08A5" w:rsidRDefault="00F03688">
      <w:pPr>
        <w:pStyle w:val="13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52pt" filled="t">
            <v:fill color2="black"/>
            <v:imagedata r:id="rId5" o:title=""/>
          </v:shape>
        </w:pict>
      </w:r>
    </w:p>
    <w:p w:rsidR="002B08A5" w:rsidRDefault="00D47BB5">
      <w:pPr>
        <w:pStyle w:val="13"/>
        <w:jc w:val="left"/>
      </w:pPr>
      <w:r>
        <w:t>Рис. 2. Динамика неврологического дефицита в ходе лечения.</w:t>
      </w:r>
    </w:p>
    <w:p w:rsidR="002B08A5" w:rsidRDefault="00F03688">
      <w:pPr>
        <w:pStyle w:val="13"/>
        <w:rPr>
          <w:b/>
          <w:bCs/>
        </w:rPr>
      </w:pPr>
      <w:r>
        <w:pict>
          <v:shape id="_x0000_i1026" type="#_x0000_t75" style="width:399.75pt;height:195.75pt" filled="t">
            <v:fill color2="black"/>
            <v:imagedata r:id="rId6" o:title=""/>
          </v:shape>
        </w:pict>
      </w:r>
    </w:p>
    <w:p w:rsidR="002B08A5" w:rsidRDefault="00D47BB5">
      <w:pPr>
        <w:rPr>
          <w:b/>
          <w:bCs/>
        </w:rPr>
      </w:pPr>
      <w:r>
        <w:rPr>
          <w:b/>
          <w:bCs/>
        </w:rPr>
        <w:t>Таблица 2. Динамика показателей нейропсихологических тестов у обследованных больных в ходе лечения</w:t>
      </w:r>
    </w:p>
    <w:tbl>
      <w:tblPr>
        <w:tblW w:w="0" w:type="auto"/>
        <w:tblInd w:w="-6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Вид теста</w:t>
            </w:r>
          </w:p>
        </w:tc>
        <w:tc>
          <w:tcPr>
            <w:tcW w:w="6390" w:type="dxa"/>
            <w:gridSpan w:val="3"/>
          </w:tcPr>
          <w:p w:rsidR="002B08A5" w:rsidRDefault="00D47BB5">
            <w:pPr>
              <w:pStyle w:val="13"/>
              <w:jc w:val="left"/>
            </w:pPr>
            <w:r>
              <w:t>Группа больных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I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II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III</w:t>
            </w:r>
          </w:p>
        </w:tc>
      </w:tr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Реципрокная координация (тест Озерецкого), движения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19,96 ± 1,12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19,87 ± 1,02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20,17 ± 1,18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23,39 ± 0,97*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21,02 ± 0,91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27,07 ± 0,90*</w:t>
            </w:r>
          </w:p>
        </w:tc>
      </w:tr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Теппинг-тест, баллы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2,82 ± 0,20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2,80 ± 0,17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2,91 ± 0,23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3,21 ± 0,73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2,98 ± 1,01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3,25 ± 1,15</w:t>
            </w:r>
          </w:p>
        </w:tc>
      </w:tr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Серийный счет, ошибки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2,31 ± 0,41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2,27 ± 0,50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2,19 ± 0,49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1,07 ± 0,53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1,6 ± 0,49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0,56 ± 0,2*</w:t>
            </w:r>
          </w:p>
        </w:tc>
      </w:tr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Память на числа, ошибки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6,91 ± 0,57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6,56 ± 0,43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6,40 ± 0,37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4,59 ± 0,31*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5,01 ± 0,2*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4,3 ± 0,32*</w:t>
            </w:r>
          </w:p>
        </w:tc>
      </w:tr>
      <w:tr w:rsidR="002B08A5">
        <w:trPr>
          <w:cantSplit/>
        </w:trPr>
        <w:tc>
          <w:tcPr>
            <w:tcW w:w="2130" w:type="dxa"/>
          </w:tcPr>
          <w:p w:rsidR="002B08A5" w:rsidRDefault="00D47BB5">
            <w:pPr>
              <w:jc w:val="both"/>
            </w:pPr>
            <w:r>
              <w:t>Корректурная проба, ошибки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2,42 ± 0,48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2,36 ± 0,44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2,21 ± 0,37</w:t>
            </w:r>
          </w:p>
        </w:tc>
      </w:tr>
      <w:tr w:rsidR="002B08A5">
        <w:trPr>
          <w:cantSplit/>
        </w:trPr>
        <w:tc>
          <w:tcPr>
            <w:tcW w:w="2130" w:type="dxa"/>
            <w:vAlign w:val="center"/>
          </w:tcPr>
          <w:p w:rsidR="002B08A5" w:rsidRDefault="002B08A5">
            <w:pPr>
              <w:jc w:val="both"/>
            </w:pP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0,81 ± 0,5*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0,99 ± 0,61</w:t>
            </w:r>
          </w:p>
        </w:tc>
        <w:tc>
          <w:tcPr>
            <w:tcW w:w="2130" w:type="dxa"/>
          </w:tcPr>
          <w:p w:rsidR="002B08A5" w:rsidRDefault="00D47BB5">
            <w:pPr>
              <w:pStyle w:val="13"/>
              <w:jc w:val="left"/>
            </w:pPr>
            <w:r>
              <w:t>0,72 ± 0,5*</w:t>
            </w:r>
          </w:p>
        </w:tc>
      </w:tr>
      <w:tr w:rsidR="002B08A5">
        <w:tc>
          <w:tcPr>
            <w:tcW w:w="8520" w:type="dxa"/>
            <w:gridSpan w:val="4"/>
          </w:tcPr>
          <w:p w:rsidR="002B08A5" w:rsidRDefault="00D47BB5">
            <w:pPr>
              <w:jc w:val="both"/>
            </w:pPr>
            <w:r>
              <w:t>Примечание. В верхней ячейке - значение, полученное в ходе обследования до лечения, в нижней – после лечения; * - статистически достоверное изменение показателя в ходе лечения (p &lt; 0,05).</w:t>
            </w:r>
          </w:p>
        </w:tc>
      </w:tr>
    </w:tbl>
    <w:p w:rsidR="002B08A5" w:rsidRDefault="00D47BB5">
      <w:pPr>
        <w:pStyle w:val="13"/>
        <w:jc w:val="left"/>
      </w:pPr>
      <w:r>
        <w:t>Рис. 3. Динамика ОКИ в ходе лечения.</w:t>
      </w:r>
    </w:p>
    <w:p w:rsidR="002B08A5" w:rsidRDefault="00F03688">
      <w:pPr>
        <w:pStyle w:val="13"/>
        <w:jc w:val="left"/>
      </w:pPr>
      <w:r>
        <w:pict>
          <v:shape id="_x0000_i1027" type="#_x0000_t75" style="width:399.75pt;height:212.25pt" filled="t">
            <v:fill color2="black"/>
            <v:imagedata r:id="rId7" o:title=""/>
          </v:shape>
        </w:pict>
      </w:r>
    </w:p>
    <w:p w:rsidR="002B08A5" w:rsidRDefault="00D47BB5">
      <w:pPr>
        <w:pStyle w:val="13"/>
        <w:jc w:val="left"/>
      </w:pPr>
      <w:r>
        <w:t>Рис. 4. Изменение мозгового кровотока на фоне исследованных вариантов терапии.</w:t>
      </w:r>
    </w:p>
    <w:p w:rsidR="002B08A5" w:rsidRDefault="00F03688">
      <w:pPr>
        <w:pStyle w:val="13"/>
        <w:jc w:val="left"/>
      </w:pPr>
      <w:r>
        <w:pict>
          <v:shape id="_x0000_i1028" type="#_x0000_t75" style="width:399.75pt;height:225.75pt" filled="t">
            <v:fill color2="black"/>
            <v:imagedata r:id="rId8" o:title=""/>
          </v:shape>
        </w:pict>
      </w:r>
    </w:p>
    <w:p w:rsidR="002B08A5" w:rsidRDefault="00D47BB5">
      <w:pPr>
        <w:pStyle w:val="13"/>
        <w:jc w:val="left"/>
      </w:pPr>
      <w:r>
        <w:t> </w:t>
      </w:r>
    </w:p>
    <w:p w:rsidR="002B08A5" w:rsidRDefault="00D47BB5">
      <w:pPr>
        <w:pStyle w:val="13"/>
        <w:jc w:val="left"/>
      </w:pPr>
      <w:r>
        <w:rPr>
          <w:b/>
          <w:bCs/>
        </w:rPr>
        <w:t>Материалы и методы</w:t>
      </w:r>
      <w:r>
        <w:rPr>
          <w:b/>
          <w:bCs/>
        </w:rPr>
        <w:br/>
        <w:t>   </w:t>
      </w:r>
      <w:r>
        <w:t>Клиническая работа проводилась на базе неврологического отделения ДМЦ.</w:t>
      </w:r>
      <w:r>
        <w:br/>
        <w:t>   </w:t>
      </w:r>
      <w:r>
        <w:rPr>
          <w:i/>
          <w:iCs/>
        </w:rPr>
        <w:t>Группа пациентов</w:t>
      </w:r>
      <w:r>
        <w:t>: под наблюдением находилось 627 пациентов с дисциркуляторной энцефалопатией, среди которых с различной степенью ожирения и другими проявлениями метаболического симптомокомплекса было 123 больных. В качестве контроля обследованы 62 пациента без метаболических нарушений.</w:t>
      </w:r>
      <w:r>
        <w:br/>
        <w:t>   </w:t>
      </w:r>
      <w:r>
        <w:rPr>
          <w:i/>
          <w:iCs/>
        </w:rPr>
        <w:t>Критерии включения</w:t>
      </w:r>
      <w:r>
        <w:t xml:space="preserve"> в исследование: пациенты трудоспособного возраста с дисциркуляторной энцефалопатией I и II стадии на фоне ожирения и манифестацией метаболических нарушений (синдром "X").</w:t>
      </w:r>
      <w:r>
        <w:br/>
        <w:t>   </w:t>
      </w:r>
      <w:r>
        <w:rPr>
          <w:i/>
          <w:iCs/>
        </w:rPr>
        <w:t>Критерии исключения:</w:t>
      </w:r>
      <w:r>
        <w:t xml:space="preserve"> острая церебральная и коронарная патология (инсульт, инфаркт миокарда, сахарный диабет I типа, пенсионный возраст больных.</w:t>
      </w:r>
      <w:r>
        <w:br/>
        <w:t>   Пациенты были разделены на 3 группы (табл. 1):</w:t>
      </w:r>
      <w:r>
        <w:br/>
      </w:r>
      <w:r>
        <w:rPr>
          <w:i/>
          <w:iCs/>
        </w:rPr>
        <w:t>   I (основная)</w:t>
      </w:r>
      <w:r>
        <w:t xml:space="preserve"> – 63 человека в возрасте от 39 до 60 лет (средний возраст 48,3 ± 1,8 года); мужчин – 36, женщин – 27. Пациенты получали гипотензивную терапию, кардиотропные средства, при необходимости – сахароснижающие препараты, низкокалорийную диету (не менее 1200 ккал), кавинтон в дозе 20 мг на 200 мл раствора внутривенно капельно (10 инъекций на курс).</w:t>
      </w:r>
      <w:r>
        <w:br/>
        <w:t>   </w:t>
      </w:r>
      <w:r>
        <w:rPr>
          <w:i/>
          <w:iCs/>
        </w:rPr>
        <w:t>II группа (контроль - 1)</w:t>
      </w:r>
      <w:r>
        <w:t xml:space="preserve"> – 60 человек в возрасте от 41 до 60 лет (средний возраст 46,2 ± 2,01 года); мужчин – 28, женщин – 32. Пациенты этой группы получали такую же терапию, как в основной, исключая кавинтон.</w:t>
      </w:r>
      <w:r>
        <w:br/>
        <w:t>   </w:t>
      </w:r>
      <w:r>
        <w:rPr>
          <w:i/>
          <w:iCs/>
        </w:rPr>
        <w:t>III группа (контроль - 2)</w:t>
      </w:r>
      <w:r>
        <w:t xml:space="preserve"> – 62 человека (средний возраст 49,97 ± 3,17года) с дисциркуляторной энцефалопатией (ДЭ) на фоне артериальной гипертензии без других проявлений метаболического симптомокомплекса и ожирения. Медикаментозная терапия включала гипотензивные препараты, кардиоактивные средства, кавинтон и проводилась на фоне обычного калоража диеты.</w:t>
      </w:r>
      <w:r>
        <w:br/>
        <w:t>   </w:t>
      </w:r>
      <w:r>
        <w:rPr>
          <w:i/>
          <w:iCs/>
        </w:rPr>
        <w:t>Схема исследования больных</w:t>
      </w:r>
      <w:r>
        <w:rPr>
          <w:i/>
          <w:iCs/>
        </w:rPr>
        <w:br/>
      </w:r>
      <w:r>
        <w:t>   Все пациенты, включенные в исследование, обследовались по стандартизованной программе, включавшей:</w:t>
      </w:r>
      <w:r>
        <w:br/>
        <w:t>   1) протокол оценки субъективных жалоб больных по 4-балльной шкале (головная боль, головокружение, шум в ушах, нарушения сна, ухудшение работоспособности, нарушение памяти);</w:t>
      </w:r>
      <w:r>
        <w:br/>
        <w:t>   2) протокол оценки неврологического статуса; динамику неврологических симптомов оценивали по количественной шкале, разработанной для этой группы больных;</w:t>
      </w:r>
      <w:r>
        <w:br/>
        <w:t>   3) протокол нейропсихологического тестирования:</w:t>
      </w:r>
      <w:r>
        <w:br/>
        <w:t>   - изучение умственной работоспособности (проба Шульте),</w:t>
      </w:r>
      <w:r>
        <w:br/>
        <w:t>   - нейродинамические показатели (кинетическая проба, теппинг-тест),</w:t>
      </w:r>
      <w:r>
        <w:br/>
        <w:t>   - оценка зрительной памяти, серийный счет,</w:t>
      </w:r>
      <w:r>
        <w:br/>
        <w:t>   - определение концентрации внимания;</w:t>
      </w:r>
      <w:r>
        <w:br/>
        <w:t>   4) протокол соматического обследования больных, включавший общеклинические анализы, исследование липидного профиля, глюкозо-толерантный тест, электрокардиографию, ультразвуковое исследование сердца (при необходимости), определение ИМТ по классификации IOTF, окружность талии – ОТ (как косвенный показатель висцерального жира), осмотр кардиолога и эндокринолога;</w:t>
      </w:r>
      <w:r>
        <w:br/>
        <w:t>   5) исследование микрососудистого русла бульбарной конъюнктивы с помощью конъюнктивальной биомикроскопии на щелевой лампе Opton 35 SL-M с регистрацией на фотопленке с определением патологических изменений на основе балльной оценки общего конъюнктивального индекса;</w:t>
      </w:r>
      <w:r>
        <w:br/>
        <w:t>   6) изучение церебральной гемодинамики осуществлялось с помощью ультразвуковой допплерографии экстра- и интракраниальных артерий на аппарате "Acuson computed sonography 128XP/10M" (Япония).</w:t>
      </w:r>
      <w:r>
        <w:br/>
        <w:t>   Анализ динамики клинических проявлений ДЭ на фоне лечения кавинтоном показал их неравнозначный характер в группах наблюдения при различных стадиях заболевания. Отмечено, что пациенты с ожирением (I и II группы) имели более высокую степень ДЭ и более высокие исходные показатели выраженности неврологических симптомов, чем пациенты без ожирения (I группа – 5,37 ± 1,91 балла; II группа – 5,50 ± 1,32; III группа – 3,91 ± 0,14). Обращала на себя внимание зависимость проявлений дисциркуляторных церебральных расстройств от ИМТ пациентов и ОТ. На рис. 1 представлено влияние ОТ на степень неврологических расстройств у пациентов. По мере накопления висцерального жира и увеличения показателей ОТ суммарный балл выраженности неврологических симптомов возрастал. Это свидетельствует о риске более выраженной неврологической симптоматики у пациентов с верхним типом ожирения.</w:t>
      </w:r>
      <w:r>
        <w:br/>
        <w:t>   Статистически достоверной корреляционной зависимости возраста и степени ДЭ у пациентов с ожирением в данном исследовании не получено. Однако выявлен более высокий исходный балл неврологического дефицита у мужчин в возрасте 40–50 лет с ожирением (6,01 ± 1,04 в I и II группах против 4,27 ± 0,37 в III группе).</w:t>
      </w:r>
      <w:r>
        <w:br/>
        <w:t>   На фоне медикаментозной терапии отмечена положительная динамика неврологических симптомов у всех трех групп наблюдаемых пациентов, однако при сравнении больных с метаболическими нарушениями (I и II группы) получено достоверное различие неврологического симптомокомплекса до и после лечения (рис. 2).</w:t>
      </w:r>
      <w:r>
        <w:br/>
        <w:t>   У пациентов II группы, не получавших в комплексной терапии кавинтон, достоверного регресса неврологического дефицита не получено. У пациентов I и III групп на фоне лечения отмечали улучшение количественной оценки неврологического статуса в 1,16 и 1,82 раза соответственно.</w:t>
      </w:r>
      <w:r>
        <w:br/>
        <w:t xml:space="preserve">   На фоне терапии у больных наблюдали существенный регресс субъективных жалоб, особенно в I и III группах. Так, средние фоновые балльные оценки головной боли, шума в голове, головокружения в этих группах снизились в 2 раза, средний показатель субъективного снижения работоспособности – в 1,5 раза (в I группе – с 2,81 ± 0,18 до 1,87 ± 0,33 балла (p &lt; 0,05), в III группе – с 2,67 ± 0,16 до 1,78 ± 0,13 балла </w:t>
      </w:r>
      <w:r>
        <w:br/>
        <w:t>   (p &lt; 0,001).</w:t>
      </w:r>
      <w:r>
        <w:br/>
        <w:t>   Сравнительный анализ субъективных симптомов у больных I и II групп показал достоверную разницу изменений субъективного статуса пациентов, получавших и не получавших кавинтон.</w:t>
      </w:r>
      <w:r>
        <w:br/>
        <w:t>   Выраженность головной боли по окончании лечения оценивали в I группе как 1,05 ± 0,02 балла, во II группе – 1,60 ± 0,13 балла (p &lt; 0,001); шума в ушах – 0,72 ± 0,10 и 1,21 ± 0,07 балла соответственно (p &lt; 0,001); головокружения - 0,62 ± 0,17 и 0,96 ± 0,10 балла соответственно (0,1 &lt; p &lt; 0,05); достоверных различий балльных оценок нарушения сна по окончании лечения в I и II группах не получено.</w:t>
      </w:r>
      <w:r>
        <w:br/>
      </w:r>
      <w:r>
        <w:rPr>
          <w:i/>
          <w:iCs/>
        </w:rPr>
        <w:t>   Таким образом, кавинтон оказался высокоэффективным в редукции общемозговых симптомов у пациентов как с метаболическими нарушениями так и без них</w:t>
      </w:r>
      <w:r>
        <w:t>.</w:t>
      </w:r>
      <w:r>
        <w:br/>
        <w:t>   Темп регресса субъективной симптоматики у пациентов с сопутствующим ожирением и без метаболических нарушений был практически одинаковым.</w:t>
      </w:r>
      <w:r>
        <w:br/>
        <w:t>   С целью изучения дифференцированного воздействия кавинтона на когнитивные функции мы использовали нейропсихологические тесты, выявляющие расстройства концентрации внимания и нейродинамических показателей.</w:t>
      </w:r>
      <w:r>
        <w:br/>
        <w:t>   Оценка умственной работоспособности в пробе Шульте показала достоверное уменьшение времени работы с таблицами в I и III группах пациентов по окончании курса лечения кавинтоном (в I группе – с 51,1 ± 1,01 до 43,16 ± 1,12 мин   (p &lt; 0,001); в III – с 48,34 ± 1,61 до 42,12 ± 0,98 мин (p &lt; 0,001). Улучшились показатели данной пробы и во II группе (с 49,27 ± 1,17 до 46,37 ± 2,19 мин), однако разница показателей недостоверна.</w:t>
      </w:r>
      <w:r>
        <w:br/>
        <w:t xml:space="preserve">   Нейродинамические процессы оценивали теппинг-тестом и кинетической пробой (реципрокная координация). Временной эквивалент теста Н.И.Озерецкого на реципрокную координацию показал увеличение скорости моторной реакции руки в I группе в 1,17 раза, во II – в 1,05 раза, в III – в 1,34 раза (табл. 2). </w:t>
      </w:r>
      <w:r>
        <w:br/>
        <w:t>   Текущее психофизиологическое состояние у больных изучено при помощи теппинг-теста, позволяющего определить максимальный темп движения рук, с построением графиков работоспособности. Фоновое тестирование указывало на сниженный уровень работоспособности пациентов. По окончании течения результаты теппинг-теста улучшились во всех группах, причем в I и III различия были достоверными.</w:t>
      </w:r>
      <w:r>
        <w:br/>
        <w:t>   Оценка кратковременной зрительной памяти, ее объема и точности изучена при помощи "мнестических тестов" – памяти на числа и серийного счета. К концу лечения количество ошибок при серийном счете достоверно сократилось в 2,15 раза в I группе и в 3,9 раза в III группе пациентов. В группе пациентов, не получавших кавинтон, это соотношение составило лишь 1,4 раза.</w:t>
      </w:r>
      <w:r>
        <w:br/>
        <w:t>   Мнестические расстройства изучали с помощью теста "память на числа", фиксировалось количество ошибок. На фоне лечения во всех трех группах отмечено снижение количества ошибок при запоминании чисел, однако темп снижения в I и III группах был выше, чем во II (1,5 и 1,48 раза против 1,3 раза).</w:t>
      </w:r>
      <w:r>
        <w:br/>
        <w:t>   Результаты корректурной пробы, отражающей способность испытуемого концентрировать внимание, в ходе лечения улучшились в I и III группах почти в 3 раза, а во II в 2,38 раза.</w:t>
      </w:r>
      <w:r>
        <w:br/>
        <w:t>   Исследование микроциркуляции является одним из важных методов оценки лечебного действия вазоактивных средств. Отмечено влияние кавинтона на систему микроциркуляторного русла бульбарной конъюнктивы.</w:t>
      </w:r>
      <w:r>
        <w:br/>
        <w:t>   Исходными патологическими изменениями были неравномерность калибра, внутрисосудистая эритроцитарная агрегация, венозный стаз, аневризмы, нарушение рисунка лимбальных аркад. Исходная величина общего конъюнктивального индекса (ОКИ) была выше у пациентов, имеющих метаболические расстройства (I и II группы).</w:t>
      </w:r>
      <w:r>
        <w:br/>
        <w:t>   Влияние кавинтона на микроциркуляторные нарушения было дифференцированным.</w:t>
      </w:r>
      <w:r>
        <w:br/>
        <w:t>   У пациентов I и II групп с имеющейся метаболической патологией (ожирение, нарушение толерантности к глюкозе и т.д.) отмечались положительные сдвиги в системе микроциркуляции. Наблюдалось уменьшение бессосудистых зон и эритроцитарных агрегатов.</w:t>
      </w:r>
      <w:r>
        <w:br/>
        <w:t>   У больных III группы внутрисосудистые нарушения регрессировали за счет усиления микрокровотока, исчезновения или уменьшения агрегатов и венозного стаза. На рис. 3 представлена динамика ОКИ в процессе лечения. Только у пациентов, получавших кавинтон в комплексной терапии, отмечено достоверное снижение ОКИ.</w:t>
      </w:r>
      <w:r>
        <w:br/>
        <w:t>   Изучение динамики экстра- и интракраниального кровотока показало положительное влияние кавинтона на церебральную гемодинамику. Оценивалась линейная скорость кровотока (ЛСК) как наиболее стабильный показатель допплерограммы. Положительная динамика кровотока в виде увеличения ЛСК после курса кавинтона отмечалась в I и III группах пациентов, причем и в стенозированных, и в интактных артериях. В целом степень стеноза магистральных артерий головы (сонных и позвоночных) была менее 50% и зарегистрирована у 7 больных в I группе, у 5 – во II и у 3 – в III.</w:t>
      </w:r>
      <w:r>
        <w:br/>
        <w:t>   Стимуляция мозгового кровотока происходила в основном в стенозированных артериях; в них отмечено увеличение ЛСК в 1,44 раза (p &lt; 0,05).</w:t>
      </w:r>
      <w:r>
        <w:br/>
        <w:t>   Общая картина церебральной гемодинамики имела тенденцию к улучшению во всех группах (рис. 4). Более выраженный эффект наблюдался на фоне медикаментозного лечения с включением кавинтона (I и III группы пациентов).   </w:t>
      </w:r>
    </w:p>
    <w:p w:rsidR="002B08A5" w:rsidRDefault="00D47BB5">
      <w:pPr>
        <w:pStyle w:val="13"/>
        <w:jc w:val="left"/>
      </w:pPr>
      <w:r>
        <w:rPr>
          <w:b/>
          <w:bCs/>
        </w:rPr>
        <w:t>Заключение</w:t>
      </w:r>
      <w:r>
        <w:rPr>
          <w:b/>
          <w:bCs/>
        </w:rPr>
        <w:br/>
        <w:t>   </w:t>
      </w:r>
      <w:r>
        <w:t>Полученные результаты позволяют сделать вывод о высокой эффективности кавинтона у исследуемых больных, при этом положительный терапевтический результат достигался вне зависимости от имеющихся метаболических нарушений. У пациентов с ожирением лечебный эффект кавинтона был столь же выражен, как и у пациентов без симптомокомлекса синдрома "X".</w:t>
      </w:r>
      <w:r>
        <w:br/>
        <w:t>   В спектре выявляемой клинической фармакологической активности кавинтона у пациентов с ожирением сочетаются мягкое стимулирующее воздействие на когнитивные и нейродинамические функции, положительная динамика неврологического дефицита, улучшение гемореологических показателей и церебральной гемодинамики.   </w:t>
      </w:r>
    </w:p>
    <w:p w:rsidR="002B08A5" w:rsidRDefault="00D47BB5">
      <w:pPr>
        <w:pStyle w:val="13"/>
        <w:jc w:val="left"/>
        <w:rPr>
          <w:i/>
          <w:iCs/>
        </w:rPr>
      </w:pPr>
      <w:r>
        <w:rPr>
          <w:i/>
          <w:iCs/>
        </w:rPr>
        <w:t>Литература</w:t>
      </w:r>
    </w:p>
    <w:p w:rsidR="002B08A5" w:rsidRDefault="00D47BB5">
      <w:pPr>
        <w:pStyle w:val="13"/>
        <w:jc w:val="left"/>
        <w:rPr>
          <w:i/>
          <w:iCs/>
        </w:rPr>
      </w:pPr>
      <w:r>
        <w:rPr>
          <w:i/>
          <w:iCs/>
        </w:rPr>
        <w:t>1. MacGinnis JM, Lee FR. J Am Med Assoc 1995; 273: 1123-9.</w:t>
      </w:r>
      <w:r>
        <w:rPr>
          <w:i/>
          <w:iCs/>
        </w:rPr>
        <w:br/>
        <w:t>2. Ожирение: эпидемия XXI века: Межд. отчет/"Хоффман – Ля Рош Лтд.". Базель, 2000; 15.</w:t>
      </w:r>
      <w:r>
        <w:rPr>
          <w:i/>
          <w:iCs/>
        </w:rPr>
        <w:br/>
        <w:t>3. Millar WJ, Stepjens Т. Am J Public Health 1987; 77: 38-41.</w:t>
      </w:r>
      <w:r>
        <w:rPr>
          <w:i/>
          <w:iCs/>
        </w:rPr>
        <w:br/>
        <w:t>4. Data of file, F.Hoffmann – La Roche Ltd. (DIP Base. Disease Segment obesity.)</w:t>
      </w:r>
      <w:r>
        <w:rPr>
          <w:i/>
          <w:iCs/>
        </w:rPr>
        <w:br/>
        <w:t>5. Stuncard AJ. Satellite Symposium to the 6th European Congress on Obesity, abstract book.</w:t>
      </w:r>
      <w:r>
        <w:rPr>
          <w:i/>
          <w:iCs/>
        </w:rPr>
        <w:br/>
        <w:t>6. Ожирение: актуальные вопросы терапии/Департамент здравоохр. Администрации Хабаровского края; Дальневост. гос. мед. университет. Хабаровск, 2000; 30.</w:t>
      </w:r>
      <w:bookmarkStart w:id="0" w:name="_GoBack"/>
      <w:bookmarkEnd w:id="0"/>
    </w:p>
    <w:sectPr w:rsidR="002B08A5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BB5"/>
    <w:rsid w:val="002B08A5"/>
    <w:rsid w:val="00D47BB5"/>
    <w:rsid w:val="00F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238E523-070D-4B58-8BC8-621EFDB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33333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auto"/>
      <w:u w:val="single"/>
    </w:rPr>
  </w:style>
  <w:style w:type="character" w:customStyle="1" w:styleId="10">
    <w:name w:val="Просмотренная гиперссылка1"/>
    <w:basedOn w:val="1"/>
    <w:rPr>
      <w:color w:val="auto"/>
      <w:u w:val="single"/>
    </w:rPr>
  </w:style>
  <w:style w:type="character" w:customStyle="1" w:styleId="hissue1">
    <w:name w:val="hissue1"/>
    <w:basedOn w:val="1"/>
    <w:rPr>
      <w:b/>
      <w:bCs/>
      <w:color w:val="auto"/>
      <w:sz w:val="16"/>
      <w:szCs w:val="16"/>
    </w:rPr>
  </w:style>
  <w:style w:type="character" w:customStyle="1" w:styleId="htopic1">
    <w:name w:val="htopic1"/>
    <w:basedOn w:val="1"/>
    <w:rPr>
      <w:color w:val="auto"/>
      <w:sz w:val="16"/>
      <w:szCs w:val="16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13">
    <w:name w:val="Обычный (веб)1"/>
    <w:basedOn w:val="a"/>
    <w:pPr>
      <w:ind w:firstLine="240"/>
      <w:jc w:val="both"/>
    </w:pPr>
  </w:style>
  <w:style w:type="paragraph" w:customStyle="1" w:styleId="spec">
    <w:name w:val="spec"/>
    <w:basedOn w:val="a"/>
    <w:pPr>
      <w:jc w:val="both"/>
    </w:pPr>
  </w:style>
  <w:style w:type="paragraph" w:customStyle="1" w:styleId="thead">
    <w:name w:val="thead"/>
    <w:basedOn w:val="a"/>
    <w:pPr>
      <w:spacing w:before="240" w:after="240"/>
      <w:jc w:val="center"/>
    </w:pPr>
    <w:rPr>
      <w:b/>
      <w:bCs/>
      <w:i/>
      <w:iCs/>
    </w:rPr>
  </w:style>
  <w:style w:type="paragraph" w:customStyle="1" w:styleId="tab">
    <w:name w:val="tab"/>
    <w:basedOn w:val="a"/>
    <w:pPr>
      <w:spacing w:before="240" w:after="240"/>
      <w:jc w:val="center"/>
    </w:pPr>
  </w:style>
  <w:style w:type="paragraph" w:customStyle="1" w:styleId="ris">
    <w:name w:val="ris"/>
    <w:basedOn w:val="a"/>
    <w:pPr>
      <w:pBdr>
        <w:bottom w:val="single" w:sz="1" w:space="0" w:color="000000"/>
      </w:pBdr>
      <w:spacing w:after="240"/>
      <w:jc w:val="center"/>
    </w:pPr>
    <w:rPr>
      <w:i/>
      <w:iCs/>
    </w:rPr>
  </w:style>
  <w:style w:type="paragraph" w:customStyle="1" w:styleId="hissue">
    <w:name w:val="hissue"/>
    <w:basedOn w:val="a"/>
    <w:pPr>
      <w:ind w:firstLine="240"/>
      <w:jc w:val="both"/>
    </w:pPr>
    <w:rPr>
      <w:b/>
      <w:bCs/>
      <w:color w:val="auto"/>
      <w:sz w:val="16"/>
      <w:szCs w:val="16"/>
    </w:rPr>
  </w:style>
  <w:style w:type="paragraph" w:customStyle="1" w:styleId="htopic">
    <w:name w:val="htopic"/>
    <w:basedOn w:val="a"/>
    <w:pPr>
      <w:ind w:firstLine="240"/>
      <w:jc w:val="both"/>
    </w:pPr>
    <w:rPr>
      <w:color w:val="auto"/>
      <w:sz w:val="16"/>
      <w:szCs w:val="16"/>
    </w:rPr>
  </w:style>
  <w:style w:type="paragraph" w:customStyle="1" w:styleId="topbot">
    <w:name w:val="topbot"/>
    <w:basedOn w:val="a"/>
    <w:pPr>
      <w:ind w:firstLine="240"/>
      <w:jc w:val="both"/>
    </w:pPr>
    <w:rPr>
      <w:rFonts w:ascii="Tahoma" w:eastAsia="Tahoma" w:hAnsi="Tahoma" w:cs="Tahoma"/>
      <w:color w:val="auto"/>
      <w:sz w:val="17"/>
      <w:szCs w:val="17"/>
    </w:rPr>
  </w:style>
  <w:style w:type="paragraph" w:customStyle="1" w:styleId="HTML1">
    <w:name w:val="Адрес HTML1"/>
    <w:basedOn w:val="a"/>
    <w:rPr>
      <w:i/>
      <w:i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2014-04-19T08:11:00Z</dcterms:created>
  <dcterms:modified xsi:type="dcterms:W3CDTF">2014-04-19T08:11:00Z</dcterms:modified>
</cp:coreProperties>
</file>