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rPr>
          <w:b/>
          <w:bCs/>
          <w:sz w:val="28"/>
          <w:szCs w:val="28"/>
        </w:rPr>
        <w:t xml:space="preserve">1. Документ как объект криминалистического исследования. </w:t>
      </w:r>
      <w:r>
        <w:t xml:space="preserve"> </w:t>
      </w:r>
    </w:p>
    <w:p w:rsidR="00943D6C" w:rsidRDefault="00943D6C">
      <w:pPr>
        <w:autoSpaceDE w:val="0"/>
        <w:autoSpaceDN w:val="0"/>
        <w:adjustRightInd w:val="0"/>
        <w:ind w:firstLine="720"/>
        <w:jc w:val="both"/>
      </w:pP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Под документом в широком смысле слова понимают такой  материальный объект, в котором зафиксированы сведения о каких-ли</w:t>
      </w:r>
      <w:r>
        <w:softHyphen/>
        <w:t xml:space="preserve">бо фактах или обстоятельствах. 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В судебной практике встречаются различные виды документов: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- письменные;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- графические;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- фотодокументы и кинодокументы;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 xml:space="preserve">- видео и фонодокументы. 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 xml:space="preserve">Объектом криминалистического исследования документов, как правило, являются письменные документы. 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По своей процессуальной природе документы могут быть письменными и вещественными доказательствами. Последние являют</w:t>
      </w:r>
      <w:r>
        <w:softHyphen/>
        <w:t xml:space="preserve">ся незаменимыми. 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Выделяется интеллектуальный и материальный подлог доку</w:t>
      </w:r>
      <w:r>
        <w:softHyphen/>
        <w:t>ментов. Материальный подлог может быть частичным и полным /под</w:t>
      </w:r>
      <w:r>
        <w:softHyphen/>
        <w:t xml:space="preserve">делка всех реквизитов документа/. 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Документы-вещественные доказательства нельзя подшивать в уголовное дело, наклеивать на подложку, номеровать, склады</w:t>
      </w:r>
      <w:r>
        <w:softHyphen/>
        <w:t>вать, делать пометки, штампы, скреплять скрепками. Их надо поме</w:t>
      </w:r>
      <w:r>
        <w:softHyphen/>
        <w:t xml:space="preserve">щать в конверты из плотной бумаги, не сгибая. 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Вопросы в отношении документов-вещественных доказательств подразделяются на две группы: 1/ относящихся к исследованию собственно письма и почерка;2/ относящиеся к исследованию дру</w:t>
      </w:r>
      <w:r>
        <w:softHyphen/>
        <w:t xml:space="preserve">гих составных элементов документа. 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В последнее время все чаще объектами исследования стано</w:t>
      </w:r>
      <w:r>
        <w:softHyphen/>
        <w:t xml:space="preserve">вятся видеодокументы. 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 xml:space="preserve">Значительные сложности связаны с документами, размещаемыми на магнитных носителях информации ЭВМ. Совершенно новые методы должны применяться и при исследовании документов, выполненных на печатающих устройствах компьютеров. </w:t>
      </w:r>
    </w:p>
    <w:p w:rsidR="00943D6C" w:rsidRDefault="00B52A3A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Криминалистическое исследование письма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Письмо - средство общения,  в котором с помощью графичес</w:t>
      </w:r>
      <w:r>
        <w:softHyphen/>
        <w:t>ких обозначений/письменных знаков/ запечатлены мысли челове</w:t>
      </w:r>
      <w:r>
        <w:softHyphen/>
        <w:t xml:space="preserve">ка. В основе процесса формирования письма лежит обучение и практическая деятельность человека. 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Идентификационные признаки письма: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1. признаки письменной речи;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2. топографические признаки письма;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3. особые привычки письма;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 xml:space="preserve">4. признаки почерка. 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Признаки письменной речи: стиль; лексика или словарный запас; общий уровень грамотности;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Топографические признаки письма /особенности размещения текста в целом или отдельных его частей/: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-    поля / слева и справа, размер, форма - прямоугольная, тра</w:t>
      </w:r>
      <w:r>
        <w:softHyphen/>
        <w:t>пециевидная/;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-    наличие и размер абзацных отступов;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-     размеры интервалов между строками и словами;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- направление строк: горизонтальные, поднимающиеся, опускаю</w:t>
      </w:r>
      <w:r>
        <w:softHyphen/>
        <w:t>щиеся, прямолинейные, выпуклые, вогнутые, извилистые, ступенча</w:t>
      </w:r>
      <w:r>
        <w:softHyphen/>
        <w:t>тые. Расположение по линии графления /выше, ниже/;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Кроме того: расположение знаков препинания и переноса, рас</w:t>
      </w:r>
      <w:r>
        <w:softHyphen/>
        <w:t xml:space="preserve">положение заголовков, обращений, нумерация страниц. 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 xml:space="preserve">Топографические признаки устойчивы и мало контролируются пишущим. 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Особые привычки письма: выделение отдельных частей текста; внесение исправлений; наличие или отсутствие знаков переноса; своеобразие выполнения дат;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Признаки почерка: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Общие: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- выработанность почерка /способность пользоваться скоро</w:t>
      </w:r>
      <w:r>
        <w:softHyphen/>
        <w:t>писью , темп письма, координация движений/;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- сложность почерка /норма - прописи, простые и усложнен</w:t>
      </w:r>
      <w:r>
        <w:softHyphen/>
        <w:t>ные, в т. ч.  стилизованные;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- общая форма направления движений в почерке /прямолиней</w:t>
      </w:r>
      <w:r>
        <w:softHyphen/>
        <w:t>ная и криволинейная/ или угловатые и округлые;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- направление движений - левоокружное /как правило в ок</w:t>
      </w:r>
      <w:r>
        <w:softHyphen/>
        <w:t>руглых почерках/ и правоокружным /по часовой стрелке /;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- наклон почерка /прямой, правонаклонный, левонаклонный от</w:t>
      </w:r>
      <w:r>
        <w:softHyphen/>
        <w:t>носительно вертикальной оси /;если угол наклона относительно линии строки менее 50 гр. такой почерк называется косым/;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- размер почерка :крупный -более5мм, средний -2-5 , мелкий</w:t>
      </w:r>
      <w:r>
        <w:softHyphen/>
        <w:t>менее 2 мм;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- разгон почерка - отношение ширины букв к их высоте: сжатый, средний /ширина равна их высоте/, размашистый;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- связность почерка: высокосвязная /5-6 букв/, средней связности /3-4/, отрывистые /1-2/;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 xml:space="preserve">-нажим :сильный, средний и слабый /трудно выделить при письме шариковыми ручками. 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Частные признаки почерка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1. Форма движений- очертание элементов письменного знака</w:t>
      </w:r>
      <w:r>
        <w:softHyphen/>
        <w:t>прямолинейные и криволинейные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2. Направление движений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3. Протяженность движений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4. Вид соединения движений: слитный и интервальный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5. Количество движений / при выполнении письменного знака/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6. Последовательность движений/выполнения элементов зна</w:t>
      </w:r>
      <w:r>
        <w:softHyphen/>
        <w:t xml:space="preserve">ка, отличных от прописей /. 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7. Размещение движений /точки начала и окончания движе</w:t>
      </w:r>
      <w:r>
        <w:softHyphen/>
        <w:t>ний, пересечения, связывания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8. Сложность движений /упрощение, усложнение движений/.  Этапы работы  с документами: осмотр, розыскная таблица, проверка почерков, производство криминалистической экспертизы.  Таблица - описание выделенного признака с иллюстрацией.  Умышленное изменение  почерка:1/  скорописная   маскировка;2/письмо печатными буквами;3/письмо с переменой пишущей ру</w:t>
      </w:r>
      <w:r>
        <w:softHyphen/>
        <w:t>ки. 4/имитация/подделка чужого почерка</w:t>
      </w:r>
    </w:p>
    <w:p w:rsidR="00943D6C" w:rsidRDefault="00B52A3A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Технико-криминалистическое исследование документов 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>1. Исследование бланка документа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 xml:space="preserve">2. Исследование оттисков печатей и штампов. </w:t>
      </w:r>
    </w:p>
    <w:p w:rsidR="00943D6C" w:rsidRDefault="00B52A3A">
      <w:pPr>
        <w:autoSpaceDE w:val="0"/>
        <w:autoSpaceDN w:val="0"/>
        <w:adjustRightInd w:val="0"/>
        <w:ind w:firstLine="720"/>
        <w:jc w:val="both"/>
      </w:pPr>
      <w:r>
        <w:t xml:space="preserve">3. Исследование технической подделки подписей. </w:t>
      </w:r>
      <w:bookmarkStart w:id="0" w:name="_GoBack"/>
      <w:bookmarkEnd w:id="0"/>
    </w:p>
    <w:sectPr w:rsidR="00943D6C">
      <w:pgSz w:w="12240" w:h="15840" w:code="1"/>
      <w:pgMar w:top="1417" w:right="1512" w:bottom="1417" w:left="151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A3A"/>
    <w:rsid w:val="001C39D1"/>
    <w:rsid w:val="00943D6C"/>
    <w:rsid w:val="00B5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0597E1-DBCF-46CF-919B-0C66AB91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4019</Characters>
  <Application>Microsoft Office Word</Application>
  <DocSecurity>0</DocSecurity>
  <Lines>33</Lines>
  <Paragraphs>9</Paragraphs>
  <ScaleCrop>false</ScaleCrop>
  <Company>Home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D.S.</dc:creator>
  <cp:keywords/>
  <dc:description/>
  <cp:lastModifiedBy>admin</cp:lastModifiedBy>
  <cp:revision>2</cp:revision>
  <dcterms:created xsi:type="dcterms:W3CDTF">2014-02-19T04:20:00Z</dcterms:created>
  <dcterms:modified xsi:type="dcterms:W3CDTF">2014-02-19T04:20:00Z</dcterms:modified>
</cp:coreProperties>
</file>