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765A" w:rsidRDefault="008D2BFC">
      <w:pPr>
        <w:pStyle w:val="a3"/>
      </w:pPr>
      <w:r>
        <w:br/>
      </w:r>
    </w:p>
    <w:p w:rsidR="0057765A" w:rsidRDefault="008D2BFC">
      <w:pPr>
        <w:pStyle w:val="a3"/>
      </w:pPr>
      <w:r>
        <w:rPr>
          <w:b/>
          <w:bCs/>
        </w:rPr>
        <w:t>Жанна де Люз де Сен-Реми де Валуа</w:t>
      </w:r>
      <w:r>
        <w:t xml:space="preserve"> (фр. </w:t>
      </w:r>
      <w:r>
        <w:rPr>
          <w:i/>
          <w:iCs/>
        </w:rPr>
        <w:t>Jeanne de Luz de Saint-Rémy, de Valois, comtesse de la Motte</w:t>
      </w:r>
      <w:r>
        <w:t>, 1756—1791 (?)) — авантюристка, выводившая своё происхождение от Анри де Сен-Реми (1557-1621), который считается внебрачным сыном короля Генриха II Валуа от связи с Николь де Савиньи. В 1780 г. она вышла замуж за графа Ламотта, офицера гвардии графа д’Артуа, и взяла его фамилию.</w:t>
      </w:r>
    </w:p>
    <w:p w:rsidR="0057765A" w:rsidRDefault="008D2BFC">
      <w:pPr>
        <w:pStyle w:val="21"/>
        <w:numPr>
          <w:ilvl w:val="0"/>
          <w:numId w:val="0"/>
        </w:numPr>
      </w:pPr>
      <w:r>
        <w:t>Биография</w:t>
      </w:r>
    </w:p>
    <w:p w:rsidR="0057765A" w:rsidRDefault="008D2BFC">
      <w:pPr>
        <w:pStyle w:val="a3"/>
      </w:pPr>
      <w:r>
        <w:t>Родилась в бедной семье, но в юности была хороша собой. Это в сочетании со слухами о её высоком происхождении помогло Жанне удачно выйти замуж. Графиня Ла Мотт была введена в высшее общество, стала любовницей кардинала Луи де Рогана и считалась близкой подругой королевы Марии-Антуанетты; по-видимому, степень дружбы с королевой (сама Мария-Антуанетта впоследствии утверждала, что вовсе была не знакома с Ла Мотт) была сильно преувеличена самой графиней и служила ей и её любовнику в качестве средства для осуществления различных мошеннических операций. Участвовала также в предприятиях известного эмпирика Калиостро. В течение двух лет, с 1784 по 1786, она заинтересовала собой всё европейское общество как печальная героиня известного «дела об ожерелье» (</w:t>
      </w:r>
      <w:r>
        <w:rPr>
          <w:i/>
          <w:iCs/>
        </w:rPr>
        <w:t>affaire du collier</w:t>
      </w:r>
      <w:r>
        <w:t>; см. Ожерелье королевы).</w:t>
      </w:r>
    </w:p>
    <w:p w:rsidR="0057765A" w:rsidRDefault="008D2BFC">
      <w:pPr>
        <w:pStyle w:val="a3"/>
      </w:pPr>
      <w:r>
        <w:t>Осуждённая на пожизненное тюремное заключение, она бежала из тюрьмы (как некоторые подозревали, при помощи королевы) и напечатала в Лондоне свои оправдательные мемуары, а также памфлет, направленный против королевы и высших придворных лиц, под названием «</w:t>
      </w:r>
      <w:r>
        <w:rPr>
          <w:i/>
          <w:iCs/>
        </w:rPr>
        <w:t>Vie de Jeanne de Saint-Rémy, de Valois, comtesse de la Motte etc., écrite par elle-même</w:t>
      </w:r>
      <w:r>
        <w:t>» («</w:t>
      </w:r>
      <w:r>
        <w:rPr>
          <w:i/>
          <w:iCs/>
        </w:rPr>
        <w:t>Жизнь Жанны де Сен-Реми, де Валуа, графини де ла Мотт и т. д., описанная ею самой</w:t>
      </w:r>
      <w:r>
        <w:t>»). Этот памфлет (фактическая сторона которого крайне сомнительна) имел большое влияние на отношение к королеве во время революции. Принято считать, что до суда и казни Марии-Антуанетты графиня Ла Мотт не дожила. Как утверждается в Энциклопедическом словаре Брокгауза и Ефрона, в 1791 году в Лондоне она в припадке умопомешательства (приняла стучавшегося в дверь кредитора мужа за агента французского правительства) выбросилась из окна и умерла через несколько дней. Впоследствии несколько самозванок выдавали себя за графиню Ла Мотт.</w:t>
      </w:r>
    </w:p>
    <w:p w:rsidR="0057765A" w:rsidRDefault="008D2BFC">
      <w:pPr>
        <w:pStyle w:val="a3"/>
      </w:pPr>
      <w:r>
        <w:t>В 1983 г. Николай Самвелян опубликовал художественно-историческое расследование «Семь ошибок, включая ошибку автора», в котором утверждалось со ссылкой на различные исторические документы, что гибель графини де ла Мотт была фальсифицирована, а сама она впоследствии овдовела и вновь вышла замуж, став графиней де Гаше. В 1812 году, перед самым вторжением Наполеона, она появилась в России и за некие тайные услуги, оказанные российской дипломатии, в 56 лет приняла русское подданство. До 1824 года жила в Петербурге, где поддерживала знакомство со многими аристократическими семействами. В 1824 году императору Александру I стало известно о пребывании де Гаше в столице через камеристку императрицы Елизаветы Алексеевны, некую мистрис Бирх. Александр I пригласил де Гаше во дворец, и после беседы она была вскоре выслана в Крым вместе с баронессой Юлией Крюденер и графиней А. С. Голицыной. Здесь де Гаше и скончалась в мае 1826 года в Старом Крыму.</w:t>
      </w:r>
    </w:p>
    <w:p w:rsidR="0057765A" w:rsidRDefault="008D2BFC">
      <w:pPr>
        <w:pStyle w:val="21"/>
        <w:numPr>
          <w:ilvl w:val="0"/>
          <w:numId w:val="0"/>
        </w:numPr>
      </w:pPr>
      <w:r>
        <w:t>Источники</w:t>
      </w:r>
    </w:p>
    <w:p w:rsidR="0057765A" w:rsidRDefault="008D2BFC">
      <w:pPr>
        <w:pStyle w:val="a3"/>
        <w:numPr>
          <w:ilvl w:val="0"/>
          <w:numId w:val="1"/>
        </w:numPr>
        <w:tabs>
          <w:tab w:val="left" w:pos="707"/>
        </w:tabs>
      </w:pPr>
      <w:r>
        <w:t>Самвелян Н.Г., Семь ошибок, включая ошибку автора // Мир приключений. М., «Детская литература», 1983 г. Стр. 263—304.</w:t>
      </w:r>
    </w:p>
    <w:p w:rsidR="0057765A" w:rsidRDefault="008D2BFC">
      <w:pPr>
        <w:pStyle w:val="a3"/>
        <w:spacing w:after="0"/>
      </w:pPr>
      <w:r>
        <w:t>При написании этой статьи использовался материал из Энциклопедического словаря Брокгауза и Ефрона (1890—1907).</w:t>
      </w:r>
    </w:p>
    <w:p w:rsidR="0057765A" w:rsidRDefault="008D2BFC">
      <w:pPr>
        <w:pStyle w:val="a3"/>
      </w:pPr>
      <w:r>
        <w:t>Источник: http://ru.wikipedia.org/wiki/Ламотт,_Жанна</w:t>
      </w:r>
      <w:bookmarkStart w:id="0" w:name="_GoBack"/>
      <w:bookmarkEnd w:id="0"/>
    </w:p>
    <w:sectPr w:rsidR="0057765A">
      <w:footnotePr>
        <w:pos w:val="beneathText"/>
      </w:footnotePr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tarSymbol">
    <w:altName w:val="Arial Unicode MS"/>
    <w:charset w:val="80"/>
    <w:family w:val="auto"/>
    <w:pitch w:val="default"/>
  </w:font>
  <w:font w:name="Liberation Serif">
    <w:altName w:val="Times New Roman"/>
    <w:charset w:val="00"/>
    <w:family w:val="roman"/>
    <w:pitch w:val="variable"/>
  </w:font>
  <w:font w:name="DejaVu Sans">
    <w:charset w:val="00"/>
    <w:family w:val="swiss"/>
    <w:pitch w:val="variable"/>
  </w:font>
  <w:font w:name="Albany">
    <w:altName w:val="Arial"/>
    <w:charset w:val="00"/>
    <w:family w:val="swiss"/>
    <w:pitch w:val="variable"/>
  </w:font>
  <w:font w:name="HG Mincho Light J">
    <w:altName w:val="msmincho"/>
    <w:charset w:val="00"/>
    <w:family w:val="auto"/>
    <w:pitch w:val="variable"/>
  </w:font>
  <w:font w:name="Nimbus Sans L">
    <w:altName w:val="Arial"/>
    <w:charset w:val="00"/>
    <w:family w:val="auto"/>
    <w:pitch w:val="default"/>
  </w:font>
  <w:font w:name="Thorndale">
    <w:altName w:val="Times New Roman"/>
    <w:charset w:val="00"/>
    <w:family w:val="roman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RTF_Num 2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tarSymbol"/>
        <w:sz w:val="18"/>
        <w:szCs w:val="18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pStyle w:val="1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1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revisionView w:markup="0"/>
  <w:doNotTrackMoves/>
  <w:doNotTrackFormatting/>
  <w:defaultTabStop w:val="1134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2BFC"/>
    <w:rsid w:val="0057765A"/>
    <w:rsid w:val="008D2BFC"/>
    <w:rsid w:val="00A33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59DB21-23EF-41D9-8688-674EDB364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  <w:jc w:val="both"/>
    </w:pPr>
    <w:rPr>
      <w:color w:val="000000"/>
      <w:sz w:val="27"/>
      <w:szCs w:val="27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Pr>
      <w:rFonts w:ascii="StarSymbol" w:eastAsia="StarSymbol" w:hAnsi="StarSymbol" w:cs="StarSymbol"/>
      <w:sz w:val="18"/>
      <w:szCs w:val="18"/>
    </w:rPr>
  </w:style>
  <w:style w:type="character" w:customStyle="1" w:styleId="RTFNum22">
    <w:name w:val="RTF_Num 2 2"/>
    <w:rPr>
      <w:rFonts w:ascii="StarSymbol" w:eastAsia="StarSymbol" w:hAnsi="StarSymbol" w:cs="StarSymbol"/>
      <w:sz w:val="18"/>
      <w:szCs w:val="18"/>
    </w:rPr>
  </w:style>
  <w:style w:type="character" w:customStyle="1" w:styleId="RTFNum23">
    <w:name w:val="RTF_Num 2 3"/>
    <w:rPr>
      <w:rFonts w:ascii="StarSymbol" w:eastAsia="StarSymbol" w:hAnsi="StarSymbol" w:cs="StarSymbol"/>
      <w:sz w:val="18"/>
      <w:szCs w:val="18"/>
    </w:rPr>
  </w:style>
  <w:style w:type="character" w:customStyle="1" w:styleId="RTFNum24">
    <w:name w:val="RTF_Num 2 4"/>
    <w:rPr>
      <w:rFonts w:ascii="StarSymbol" w:eastAsia="StarSymbol" w:hAnsi="StarSymbol" w:cs="StarSymbol"/>
      <w:sz w:val="18"/>
      <w:szCs w:val="18"/>
    </w:rPr>
  </w:style>
  <w:style w:type="character" w:customStyle="1" w:styleId="RTFNum25">
    <w:name w:val="RTF_Num 2 5"/>
    <w:rPr>
      <w:rFonts w:ascii="StarSymbol" w:eastAsia="StarSymbol" w:hAnsi="StarSymbol" w:cs="StarSymbol"/>
      <w:sz w:val="18"/>
      <w:szCs w:val="18"/>
    </w:rPr>
  </w:style>
  <w:style w:type="character" w:customStyle="1" w:styleId="RTFNum26">
    <w:name w:val="RTF_Num 2 6"/>
    <w:rPr>
      <w:rFonts w:ascii="StarSymbol" w:eastAsia="StarSymbol" w:hAnsi="StarSymbol" w:cs="StarSymbol"/>
      <w:sz w:val="18"/>
      <w:szCs w:val="18"/>
    </w:rPr>
  </w:style>
  <w:style w:type="character" w:customStyle="1" w:styleId="RTFNum27">
    <w:name w:val="RTF_Num 2 7"/>
    <w:rPr>
      <w:rFonts w:ascii="StarSymbol" w:eastAsia="StarSymbol" w:hAnsi="StarSymbol" w:cs="StarSymbol"/>
      <w:sz w:val="18"/>
      <w:szCs w:val="18"/>
    </w:rPr>
  </w:style>
  <w:style w:type="character" w:customStyle="1" w:styleId="RTFNum28">
    <w:name w:val="RTF_Num 2 8"/>
    <w:rPr>
      <w:rFonts w:ascii="StarSymbol" w:eastAsia="StarSymbol" w:hAnsi="StarSymbol" w:cs="StarSymbol"/>
      <w:sz w:val="18"/>
      <w:szCs w:val="18"/>
    </w:rPr>
  </w:style>
  <w:style w:type="character" w:customStyle="1" w:styleId="RTFNum29">
    <w:name w:val="RTF_Num 2 9"/>
    <w:rPr>
      <w:rFonts w:ascii="StarSymbol" w:eastAsia="StarSymbol" w:hAnsi="StarSymbol" w:cs="StarSymbol"/>
      <w:sz w:val="18"/>
      <w:szCs w:val="18"/>
    </w:rPr>
  </w:style>
  <w:style w:type="character" w:customStyle="1" w:styleId="RTFNum210">
    <w:name w:val="RTF_Num 2 10"/>
    <w:rPr>
      <w:rFonts w:ascii="StarSymbol" w:eastAsia="StarSymbol" w:hAnsi="StarSymbol" w:cs="StarSymbol"/>
      <w:sz w:val="18"/>
      <w:szCs w:val="18"/>
    </w:rPr>
  </w:style>
  <w:style w:type="character" w:customStyle="1" w:styleId="EndnoteSymbol">
    <w:name w:val="Endnote Symbol"/>
    <w:rPr>
      <w:rFonts w:ascii="Liberation Serif" w:eastAsia="DejaVu Sans" w:hAnsi="Liberation Serif" w:cs="Liberation Serif"/>
      <w:color w:val="auto"/>
      <w:sz w:val="24"/>
      <w:szCs w:val="24"/>
      <w:lang w:val="en-US"/>
    </w:rPr>
  </w:style>
  <w:style w:type="character" w:customStyle="1" w:styleId="FootnoteSymbol">
    <w:name w:val="Footnote Symbol"/>
    <w:rPr>
      <w:rFonts w:ascii="Liberation Serif" w:eastAsia="DejaVu Sans" w:hAnsi="Liberation Serif" w:cs="Liberation Serif"/>
      <w:color w:val="auto"/>
      <w:sz w:val="24"/>
      <w:szCs w:val="24"/>
      <w:lang w:val="en-US"/>
    </w:rPr>
  </w:style>
  <w:style w:type="character" w:customStyle="1" w:styleId="Internetlink">
    <w:name w:val="Internet link"/>
    <w:rPr>
      <w:rFonts w:ascii="Liberation Serif" w:eastAsia="DejaVu Sans" w:hAnsi="Liberation Serif" w:cs="Liberation Serif"/>
      <w:color w:val="000080"/>
      <w:sz w:val="24"/>
      <w:szCs w:val="24"/>
      <w:u w:val="single"/>
      <w:lang w:val="en-US"/>
    </w:rPr>
  </w:style>
  <w:style w:type="character" w:customStyle="1" w:styleId="BulletSymbols">
    <w:name w:val="Bullet Symbols"/>
    <w:rPr>
      <w:rFonts w:ascii="StarSymbol" w:eastAsia="StarSymbol" w:hAnsi="StarSymbol" w:cs="StarSymbol"/>
      <w:color w:val="auto"/>
      <w:sz w:val="18"/>
      <w:szCs w:val="18"/>
      <w:lang w:val="en-US"/>
    </w:rPr>
  </w:style>
  <w:style w:type="paragraph" w:customStyle="1" w:styleId="Heading">
    <w:name w:val="Heading"/>
    <w:basedOn w:val="a"/>
    <w:next w:val="a3"/>
    <w:pPr>
      <w:keepNext/>
      <w:spacing w:before="240" w:after="283"/>
    </w:pPr>
    <w:rPr>
      <w:rFonts w:ascii="Albany" w:eastAsia="HG Mincho Light J" w:hAnsi="Albany" w:cs="Albany"/>
      <w:sz w:val="28"/>
      <w:szCs w:val="28"/>
    </w:rPr>
  </w:style>
  <w:style w:type="paragraph" w:styleId="a3">
    <w:name w:val="Body Text"/>
    <w:basedOn w:val="a"/>
    <w:semiHidden/>
    <w:pPr>
      <w:spacing w:after="283"/>
    </w:pPr>
  </w:style>
  <w:style w:type="paragraph" w:styleId="a4">
    <w:name w:val="List"/>
    <w:basedOn w:val="a3"/>
    <w:semiHidden/>
  </w:style>
  <w:style w:type="paragraph" w:customStyle="1" w:styleId="1">
    <w:name w:val="Название объекта1"/>
    <w:basedOn w:val="a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a"/>
  </w:style>
  <w:style w:type="paragraph" w:customStyle="1" w:styleId="HorizontalLine">
    <w:name w:val="Horizontal Line"/>
    <w:basedOn w:val="a"/>
    <w:next w:val="a3"/>
    <w:pPr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210">
    <w:name w:val="Обратный адрес 21"/>
    <w:basedOn w:val="a"/>
    <w:rPr>
      <w:i/>
      <w:iCs/>
    </w:rPr>
  </w:style>
  <w:style w:type="paragraph" w:customStyle="1" w:styleId="TableContents">
    <w:name w:val="Table Contents"/>
    <w:basedOn w:val="a3"/>
  </w:style>
  <w:style w:type="paragraph" w:customStyle="1" w:styleId="10">
    <w:name w:val="Нижний колонтитул1"/>
    <w:basedOn w:val="a"/>
    <w:pPr>
      <w:tabs>
        <w:tab w:val="center" w:pos="4818"/>
        <w:tab w:val="right" w:pos="9637"/>
      </w:tabs>
    </w:pPr>
  </w:style>
  <w:style w:type="paragraph" w:customStyle="1" w:styleId="12">
    <w:name w:val="Верхний колонтитул1"/>
    <w:basedOn w:val="a"/>
    <w:pPr>
      <w:tabs>
        <w:tab w:val="center" w:pos="4818"/>
        <w:tab w:val="right" w:pos="9637"/>
      </w:tabs>
    </w:pPr>
  </w:style>
  <w:style w:type="paragraph" w:customStyle="1" w:styleId="11">
    <w:name w:val="Заголовок 11"/>
    <w:basedOn w:val="Heading"/>
    <w:next w:val="a3"/>
    <w:pPr>
      <w:numPr>
        <w:numId w:val="2"/>
      </w:numPr>
      <w:outlineLvl w:val="0"/>
    </w:pPr>
    <w:rPr>
      <w:rFonts w:ascii="Thorndale" w:hAnsi="Thorndale" w:cs="Thorndale"/>
      <w:b/>
      <w:bCs/>
      <w:sz w:val="48"/>
      <w:szCs w:val="48"/>
    </w:rPr>
  </w:style>
  <w:style w:type="paragraph" w:customStyle="1" w:styleId="2">
    <w:name w:val="Название объекта2"/>
    <w:basedOn w:val="a"/>
    <w:pPr>
      <w:spacing w:before="120" w:after="120"/>
    </w:pPr>
    <w:rPr>
      <w:i/>
      <w:iCs/>
      <w:sz w:val="24"/>
      <w:szCs w:val="24"/>
    </w:rPr>
  </w:style>
  <w:style w:type="paragraph" w:customStyle="1" w:styleId="21">
    <w:name w:val="Заголовок 21"/>
    <w:basedOn w:val="Heading"/>
    <w:next w:val="a3"/>
    <w:pPr>
      <w:numPr>
        <w:ilvl w:val="1"/>
        <w:numId w:val="2"/>
      </w:numPr>
      <w:outlineLvl w:val="1"/>
    </w:pPr>
    <w:rPr>
      <w:rFonts w:ascii="Liberation Serif" w:eastAsia="DejaVu Sans" w:hAnsi="Liberation Serif" w:cs="Liberation Serif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507</Words>
  <Characters>2890</Characters>
  <Application>Microsoft Office Word</Application>
  <DocSecurity>0</DocSecurity>
  <Lines>24</Lines>
  <Paragraphs>6</Paragraphs>
  <ScaleCrop>false</ScaleCrop>
  <Company/>
  <LinksUpToDate>false</LinksUpToDate>
  <CharactersWithSpaces>3391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admin</cp:lastModifiedBy>
  <cp:revision>2</cp:revision>
  <cp:lastPrinted>1899-12-31T21:00:00Z</cp:lastPrinted>
  <dcterms:created xsi:type="dcterms:W3CDTF">2014-04-06T17:47:00Z</dcterms:created>
  <dcterms:modified xsi:type="dcterms:W3CDTF">2014-04-06T17:47:00Z</dcterms:modified>
</cp:coreProperties>
</file>