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4180" w:rsidRPr="004A4180" w:rsidRDefault="0062445B" w:rsidP="004A4180">
      <w:pPr>
        <w:pStyle w:val="a8"/>
      </w:pPr>
      <w:r w:rsidRPr="004A4180">
        <w:t>Межбанковское кредитование - это привлечение и размещение на договорных началах банками между собой свободных денежных ресурсов в форме вкладов (депозитов) и кредитов.</w:t>
      </w:r>
    </w:p>
    <w:p w:rsidR="004A4180" w:rsidRPr="004A4180" w:rsidRDefault="0062445B" w:rsidP="004A4180">
      <w:pPr>
        <w:pStyle w:val="a8"/>
      </w:pPr>
      <w:r w:rsidRPr="004A4180">
        <w:t>Система межбанковского кредитования имеет два уровня: первый отражает движение средств между Банком России и коммерческими банками, второй - между различными коммерческими банками.</w:t>
      </w:r>
    </w:p>
    <w:p w:rsidR="004A4180" w:rsidRPr="004A4180" w:rsidRDefault="0062445B" w:rsidP="004A4180">
      <w:pPr>
        <w:pStyle w:val="a8"/>
      </w:pPr>
      <w:r w:rsidRPr="004A4180">
        <w:t>В современных условиях коммерческие банки для оперативного привлечения денежных средств используют возможности межбанковского рынка ресурсов, на котором происходит продажа денежных средств, мобилизованных другими кредитными организациями.</w:t>
      </w:r>
    </w:p>
    <w:p w:rsidR="004A4180" w:rsidRPr="004A4180" w:rsidRDefault="0062445B" w:rsidP="004A4180">
      <w:pPr>
        <w:pStyle w:val="a8"/>
      </w:pPr>
      <w:r w:rsidRPr="004A4180">
        <w:t>Межбанковский механизм является основным источником заёмных кредитных ресурсов коммерческих банков, источником средств для поддержания платежеспособности баланса и обеспечения бесперебойности выполнения обязательств. Он предоставляется, как правило, в рамках корреспондентских отношений.</w:t>
      </w:r>
    </w:p>
    <w:p w:rsidR="004A4180" w:rsidRPr="004A4180" w:rsidRDefault="0062445B" w:rsidP="004A4180">
      <w:pPr>
        <w:pStyle w:val="a8"/>
      </w:pPr>
      <w:r w:rsidRPr="004A4180">
        <w:t>Привлечение межбанковского кредита осуществляется либо самостоятельно банками путем прямых переговоров, либо через финансовых посредников. Если банки сами договариваются о межбанковском кредите, то их отношения оформляются специальными договорами, которые заключаются в основном на определенный срок. Привлечение ресурсов осуществляется также в виде централизованных кредитов. Кредиты Банка России предоставляются коммерческим банкам в порядке финансирования и на конкурсной основе.</w:t>
      </w:r>
    </w:p>
    <w:p w:rsidR="004A4180" w:rsidRPr="004A4180" w:rsidRDefault="0062445B" w:rsidP="004A4180">
      <w:pPr>
        <w:pStyle w:val="a8"/>
      </w:pPr>
      <w:r w:rsidRPr="004A4180">
        <w:t>В зависимости от срока различают межбанковские кредиты до востребования и срочные. Срочные межбанковские кредиты привлекаются и размещаются на следующие сроки: 1 день, 2 - 7 дней, 8-30 дней, 31-90 дней, 9] -180 дней, 181 день -1 год, 1-3 года, свыше 3 лет. Форма межбанковского кредита до востребования предусматривает предоставление межбанковского кредита на минимальный установленный договором срок, по истечении которого кредит переходит в разряд бессрочных и может быть востребован кредитором в любой момент по предварительному уведомлению.</w:t>
      </w:r>
    </w:p>
    <w:p w:rsidR="004A4180" w:rsidRPr="004A4180" w:rsidRDefault="0062445B" w:rsidP="004A4180">
      <w:pPr>
        <w:pStyle w:val="a8"/>
      </w:pPr>
      <w:r w:rsidRPr="004A4180">
        <w:t>В зависимости от критерия платности кредита можно выделить ссуды с рыночной, повышенной и льготной процентной ставкой. Рыночная процентная ставка - это ставка, которая складывается в момент предоставления ссуды исходя из соотношения спроса и предложения на рынке. Межбанковские кредиты с повышенной процентной ставкой возникают в связи с высоким риском предоставления средств данному заемщику. Льготная процентная ставка является элементом дифференцированного подхода к кредитованию и применяется крайне редко.</w:t>
      </w:r>
    </w:p>
    <w:p w:rsidR="004A4180" w:rsidRPr="004A4180" w:rsidRDefault="0062445B" w:rsidP="004A4180">
      <w:pPr>
        <w:pStyle w:val="a8"/>
      </w:pPr>
      <w:r w:rsidRPr="004A4180">
        <w:t>В зависимости от обеспечения кредита выделяют межбанковские кредиты обеспеченные, частично обеспеченные и необеспеченные. Как правило, в качестве обеспечения межбанковского кредита используется все имущество заемщика. Большинство межбанковских кредитов в настоящее время принадлежит к необеспеченным.</w:t>
      </w:r>
    </w:p>
    <w:p w:rsidR="004A4180" w:rsidRPr="004A4180" w:rsidRDefault="0062445B" w:rsidP="004A4180">
      <w:pPr>
        <w:pStyle w:val="a8"/>
      </w:pPr>
      <w:r w:rsidRPr="004A4180">
        <w:t>Межбанковские кредиты классифицируются также в зависимости от валюты сделки (российские рубли, иностранные валюты); в зависимости от наличия или отсутствия лимита ссудной задолженности; размера кредита. К крупным кредитам в Российской Федерации относятся ссуды, размер которых превышает 5 % капитала банка-кредитора.</w:t>
      </w:r>
    </w:p>
    <w:p w:rsidR="004A4180" w:rsidRPr="004A4180" w:rsidRDefault="0062445B" w:rsidP="004A4180">
      <w:pPr>
        <w:pStyle w:val="a8"/>
      </w:pPr>
      <w:r w:rsidRPr="004A4180">
        <w:t>Широкое распространение имеют такие виды межбанковских кредитов, как бронирование средств по корреспондентскому счету и овердрафт. Бронирование средств представляет собой использование корреспондентского счета банка для блокировки средств на определенный срок. При заключении договора на открытие корреспондентского счета часто предусматривается возможность проведения операций по корреспондентскому счету в режиме овepдрафта, сумма которого зависит от ежедневного остатка средств на корреспондентском счете, срока документооборота, объема оборота по корреспондентскому счету.</w:t>
      </w:r>
    </w:p>
    <w:p w:rsidR="004A4180" w:rsidRPr="004A4180" w:rsidRDefault="0062445B" w:rsidP="004A4180">
      <w:pPr>
        <w:pStyle w:val="a8"/>
      </w:pPr>
      <w:r w:rsidRPr="004A4180">
        <w:t>Банк России предоставляет коммерческим банкам определенные виды кредитов.</w:t>
      </w:r>
    </w:p>
    <w:p w:rsidR="004A4180" w:rsidRPr="004A4180" w:rsidRDefault="0062445B" w:rsidP="004A4180">
      <w:pPr>
        <w:pStyle w:val="a8"/>
      </w:pPr>
      <w:r w:rsidRPr="004A4180">
        <w:t>Ломбардные кредиты - это в широком смысле - ссуды под залог депонированных в банке ценных бумаг, в узком смысле краткосрочные кредиты, предоставляемые Банком России кредитным организациям под залог ценных бумаг для удовлетворения потребностей банков в ликвидных средствах с целью поддержания и регулирования ликвидности банковской системы.</w:t>
      </w:r>
    </w:p>
    <w:p w:rsidR="004A4180" w:rsidRPr="004A4180" w:rsidRDefault="0062445B" w:rsidP="004A4180">
      <w:pPr>
        <w:pStyle w:val="a8"/>
      </w:pPr>
      <w:r w:rsidRPr="004A4180">
        <w:t>Кредиты «овернайт» предоставляются кредитным организациям только в том случае, если последние не могут изыскать возможность получения кредита на рынке межбанковских кредитов. Предоставляется кредит путем списания средств с корреспондентского счета банка по платежным документам при отсутствии или недостаточности средств на счете банка в расчетном подразделении Банка России.</w:t>
      </w:r>
    </w:p>
    <w:p w:rsidR="004A4180" w:rsidRPr="004A4180" w:rsidRDefault="0062445B" w:rsidP="004A4180">
      <w:pPr>
        <w:pStyle w:val="a8"/>
      </w:pPr>
      <w:r w:rsidRPr="004A4180">
        <w:t>Внутридневные кредиты предоставляются Банком России банкам, расположенным в регионах с непрерывной обработкой платежных документов в течение операционного дня. Основанием для выдачи кредита являются неисполненные платежные документы, предъявленные к корреспондентскому счету коммерческого банка в течение операционного дня.</w:t>
      </w:r>
    </w:p>
    <w:p w:rsidR="004A4180" w:rsidRPr="004A4180" w:rsidRDefault="0062445B" w:rsidP="004A4180">
      <w:pPr>
        <w:pStyle w:val="a8"/>
      </w:pPr>
      <w:r w:rsidRPr="004A4180">
        <w:t>Каждая сделка по предоставлению межбанковского кредита (депозита) оформляется кредитным (депозитным) договором. Договор о заключении сделки должен предусматривать следующие позиции: валюту кредита, сумму кредита, процентную ставку, дату выдачи и возврата кредита, дату уплаты процентов по кредиту, срок предоставления кредита в днях, сумму процентов, подлежащих уплате, особые условия проведения сделки, обеспечение кредита, обязанности и ответственность сторон по использованию условий договора, платежные инструкции сторон, реквизиты заёмщика и кредитора.</w:t>
      </w:r>
    </w:p>
    <w:p w:rsidR="004A4180" w:rsidRPr="004A4180" w:rsidRDefault="0062445B" w:rsidP="004A4180">
      <w:pPr>
        <w:pStyle w:val="a8"/>
      </w:pPr>
      <w:r w:rsidRPr="004A4180">
        <w:t>Сотрудничество на рынке межбанковского кредитования оформляется генеральным соглашением</w:t>
      </w:r>
      <w:r w:rsidR="00EC7374">
        <w:t>.</w:t>
      </w:r>
      <w:r w:rsidRPr="004A4180">
        <w:t xml:space="preserve"> Генеральное соглашение о сотрудничестве на рынке межбанковских кредитов и депозитов представляет собой согласие участников соглашения о предоставлении друг другу краткосрочных (от 1 до 30 дней) межбанковских кредитов на взаимовыгодной основе.</w:t>
      </w:r>
    </w:p>
    <w:p w:rsidR="004A4180" w:rsidRPr="004A4180" w:rsidRDefault="0062445B" w:rsidP="004A4180">
      <w:pPr>
        <w:pStyle w:val="a8"/>
      </w:pPr>
      <w:r w:rsidRPr="004A4180">
        <w:t>После заключения соглашения в определенные данным соглашением сроки стороны обмениваются следующими документами:</w:t>
      </w:r>
    </w:p>
    <w:p w:rsidR="004A4180" w:rsidRPr="004A4180" w:rsidRDefault="0062445B" w:rsidP="004A4180">
      <w:pPr>
        <w:pStyle w:val="a8"/>
      </w:pPr>
      <w:r w:rsidRPr="004A4180">
        <w:t>копиями учредительных документов, заверенных печатью (учредительный договор, устав, лицензия на совершение банковских операций в российских рублях и иностранной валюте или генеральная лицензия);</w:t>
      </w:r>
    </w:p>
    <w:p w:rsidR="004A4180" w:rsidRPr="004A4180" w:rsidRDefault="0062445B" w:rsidP="004A4180">
      <w:pPr>
        <w:pStyle w:val="a8"/>
      </w:pPr>
      <w:r w:rsidRPr="004A4180">
        <w:t>нотариально заверенными копиями карточек с образцами подписей и оттиском печати;</w:t>
      </w:r>
    </w:p>
    <w:p w:rsidR="004A4180" w:rsidRPr="004A4180" w:rsidRDefault="0062445B" w:rsidP="004A4180">
      <w:pPr>
        <w:pStyle w:val="a8"/>
      </w:pPr>
      <w:r w:rsidRPr="004A4180">
        <w:t>копиями аудиторского заключений, если таковое имеется;</w:t>
      </w:r>
    </w:p>
    <w:p w:rsidR="004A4180" w:rsidRPr="004A4180" w:rsidRDefault="0062445B" w:rsidP="004A4180">
      <w:pPr>
        <w:pStyle w:val="a8"/>
      </w:pPr>
      <w:r w:rsidRPr="004A4180">
        <w:t>доверенностями, в которых указываются имена трейдеров, отвечающих за определенный сегмент межбанковского рынка и уполномоченных на совершение необходимых действий в рамках генерального соглашения;</w:t>
      </w:r>
    </w:p>
    <w:p w:rsidR="00322B10" w:rsidRPr="004A4180" w:rsidRDefault="0062445B" w:rsidP="004A4180">
      <w:pPr>
        <w:pStyle w:val="a8"/>
      </w:pPr>
      <w:r w:rsidRPr="004A4180">
        <w:t>другими необходимыми документами, определяемыми соглашением.</w:t>
      </w:r>
    </w:p>
    <w:p w:rsidR="0062445B" w:rsidRPr="004A4180" w:rsidRDefault="0062445B" w:rsidP="004A4180">
      <w:pPr>
        <w:pStyle w:val="a8"/>
      </w:pPr>
      <w:bookmarkStart w:id="0" w:name="_GoBack"/>
      <w:bookmarkEnd w:id="0"/>
    </w:p>
    <w:sectPr w:rsidR="0062445B" w:rsidRPr="004A4180" w:rsidSect="004A4180">
      <w:footerReference w:type="default" r:id="rId7"/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D40F4" w:rsidRDefault="007D40F4" w:rsidP="0062445B">
      <w:pPr>
        <w:spacing w:after="0" w:line="240" w:lineRule="auto"/>
      </w:pPr>
      <w:r>
        <w:separator/>
      </w:r>
    </w:p>
  </w:endnote>
  <w:endnote w:type="continuationSeparator" w:id="0">
    <w:p w:rsidR="007D40F4" w:rsidRDefault="007D40F4" w:rsidP="006244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445B" w:rsidRDefault="00BA3085" w:rsidP="004A4180">
    <w:pPr>
      <w:pStyle w:val="a5"/>
      <w:jc w:val="center"/>
    </w:pPr>
    <w:r>
      <w:rPr>
        <w:noProof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D40F4" w:rsidRDefault="007D40F4" w:rsidP="0062445B">
      <w:pPr>
        <w:spacing w:after="0" w:line="240" w:lineRule="auto"/>
      </w:pPr>
      <w:r>
        <w:separator/>
      </w:r>
    </w:p>
  </w:footnote>
  <w:footnote w:type="continuationSeparator" w:id="0">
    <w:p w:rsidR="007D40F4" w:rsidRDefault="007D40F4" w:rsidP="006244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5E1F66"/>
    <w:multiLevelType w:val="hybridMultilevel"/>
    <w:tmpl w:val="9C6426B0"/>
    <w:lvl w:ilvl="0" w:tplc="04190001">
      <w:start w:val="1"/>
      <w:numFmt w:val="bullet"/>
      <w:lvlText w:val=""/>
      <w:lvlJc w:val="left"/>
      <w:pPr>
        <w:ind w:left="1572" w:hanging="1005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29351118"/>
    <w:multiLevelType w:val="hybridMultilevel"/>
    <w:tmpl w:val="FD2660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EDE51FC"/>
    <w:multiLevelType w:val="hybridMultilevel"/>
    <w:tmpl w:val="526E95D4"/>
    <w:lvl w:ilvl="0" w:tplc="B64ABBB2">
      <w:numFmt w:val="bullet"/>
      <w:lvlText w:val="·"/>
      <w:lvlJc w:val="left"/>
      <w:pPr>
        <w:ind w:left="1572" w:hanging="100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357"/>
  <w:doNotHyphenateCaps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445B"/>
    <w:rsid w:val="0010670F"/>
    <w:rsid w:val="00234F69"/>
    <w:rsid w:val="00322B10"/>
    <w:rsid w:val="0034643A"/>
    <w:rsid w:val="003E0EB1"/>
    <w:rsid w:val="004A4180"/>
    <w:rsid w:val="0062445B"/>
    <w:rsid w:val="007D40F4"/>
    <w:rsid w:val="00BA3085"/>
    <w:rsid w:val="00C520B5"/>
    <w:rsid w:val="00D60749"/>
    <w:rsid w:val="00EC7374"/>
    <w:rsid w:val="00FF1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E73BE34-1B96-4F3A-B862-BE0AD1A09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B10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24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uiPriority w:val="99"/>
    <w:semiHidden/>
    <w:locked/>
    <w:rsid w:val="0062445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624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uiPriority w:val="99"/>
    <w:locked/>
    <w:rsid w:val="0062445B"/>
    <w:rPr>
      <w:rFonts w:cs="Times New Roman"/>
    </w:rPr>
  </w:style>
  <w:style w:type="paragraph" w:styleId="a7">
    <w:name w:val="List Paragraph"/>
    <w:basedOn w:val="a"/>
    <w:uiPriority w:val="34"/>
    <w:qFormat/>
    <w:rsid w:val="0062445B"/>
    <w:pPr>
      <w:ind w:left="720"/>
      <w:contextualSpacing/>
    </w:pPr>
  </w:style>
  <w:style w:type="paragraph" w:customStyle="1" w:styleId="a8">
    <w:name w:val="Аа"/>
    <w:basedOn w:val="a"/>
    <w:qFormat/>
    <w:rsid w:val="004A4180"/>
    <w:pPr>
      <w:suppressAutoHyphens/>
      <w:spacing w:after="0" w:line="360" w:lineRule="auto"/>
      <w:ind w:firstLine="709"/>
      <w:contextualSpacing/>
      <w:jc w:val="both"/>
    </w:pPr>
    <w:rPr>
      <w:rFonts w:ascii="Times New Roman" w:hAnsi="Times New Roman"/>
      <w:sz w:val="28"/>
      <w:szCs w:val="20"/>
      <w:lang w:eastAsia="ru-RU"/>
    </w:rPr>
  </w:style>
  <w:style w:type="paragraph" w:customStyle="1" w:styleId="a9">
    <w:name w:val="Бб"/>
    <w:basedOn w:val="a"/>
    <w:qFormat/>
    <w:rsid w:val="004A4180"/>
    <w:pPr>
      <w:suppressAutoHyphens/>
      <w:spacing w:after="0" w:line="360" w:lineRule="auto"/>
      <w:contextualSpacing/>
    </w:pPr>
    <w:rPr>
      <w:rFonts w:ascii="Times New Roman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942</Words>
  <Characters>5375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2014-03-01T12:01:00Z</dcterms:created>
  <dcterms:modified xsi:type="dcterms:W3CDTF">2014-03-01T12:01:00Z</dcterms:modified>
</cp:coreProperties>
</file>