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BC" w:rsidRDefault="00A26D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Международное космическое право.</w:t>
      </w:r>
    </w:p>
    <w:p w:rsidR="00A26DBC" w:rsidRDefault="00A26D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Правовой режим космического пространства и небесных тел.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и использование космического пространства, включая Луну и другие небесные тела, осуществляются на благо и в интересах всех стран, независимо от степени их экономического или научного развития, и являются достоянием всего человечества</w:t>
      </w:r>
      <w:r>
        <w:rPr>
          <w:rStyle w:val="a3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. Деятельность по исследованию и использования космического пространства, в том числе Луны и других небесных тел, осуществляется в соответствии с международным правом, включая Устав ООН, в интересах поддержания международного мира и безопасности и развития международного сотрудничества и взаимопонимания</w:t>
      </w:r>
      <w:r>
        <w:rPr>
          <w:rStyle w:val="a3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Космическое пространство, включая Луну и другие небесные тела, не подлежит национальному присвоению ни путем провозглашения на них суверенитета, ни путем использования или оккупации, ни любыми другими средствами</w:t>
      </w:r>
      <w:r>
        <w:rPr>
          <w:rStyle w:val="a3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отмечает проф. О.И. Тиунов, "вопрос о границе между воздушным и космическим пространством договорно не урегулирован. Сложилась обычно-правовая норма, согласно которой эта граница проходит на высоте минимальных перигеев орбит искусственных спутников Земли, т.е. на высоте 100-110км над уровнем океана. Надземное пространство на уровне и выше пределов минимально низких орбит спутников… считается открытым космосом"</w:t>
      </w:r>
      <w:r>
        <w:rPr>
          <w:rStyle w:val="a3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правом установлен принцип демилитаризации космического пространства и небесных тел</w:t>
      </w:r>
      <w:r>
        <w:rPr>
          <w:rStyle w:val="a3"/>
          <w:color w:val="000000"/>
          <w:sz w:val="24"/>
          <w:szCs w:val="24"/>
        </w:rPr>
        <w:footnoteReference w:id="5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Правовой режим космических объектов и космонавтов.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космическими объектами понимаются искусственные тела, которые создаются человеком и запускаются в космос. Обязательна их государственная регистрация</w:t>
      </w:r>
      <w:r>
        <w:rPr>
          <w:rStyle w:val="a3"/>
          <w:color w:val="000000"/>
          <w:sz w:val="24"/>
          <w:szCs w:val="24"/>
        </w:rPr>
        <w:footnoteReference w:id="6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естественных небесных тел, на искусственные космические объекты распространяются право собственности и юрисдикция запустившего государства. Если космические объекты или их составные части по возвращении на Землю обнаружены за пределами государства регистрации, то они должны быть возвращены данному государству, с информированием об этом Генерального секретаря ООН. 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Международным правом устанавливается принцип абсолютной ответственности запускающего государства за ущерб, причиненный его космическим объектом на поверхности Земли или воздушному судну в полету; если же ущерб причинен космическому объекту или имуществу на его борту в любом месте за пределами поверхности Земли, то запускающее государство несет ответственность только при наличии вины</w:t>
      </w:r>
      <w:r>
        <w:rPr>
          <w:rStyle w:val="a3"/>
          <w:color w:val="000000"/>
          <w:sz w:val="24"/>
          <w:szCs w:val="24"/>
        </w:rPr>
        <w:footnoteReference w:id="7"/>
      </w:r>
      <w:r>
        <w:rPr>
          <w:color w:val="000000"/>
          <w:sz w:val="24"/>
          <w:szCs w:val="24"/>
        </w:rPr>
        <w:t>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право рассматривает "космонавтов как посланцев человечества в космос", все государства обязаны оказывать им всемерную помощь</w:t>
      </w:r>
      <w:r>
        <w:rPr>
          <w:rStyle w:val="a3"/>
          <w:color w:val="000000"/>
          <w:sz w:val="24"/>
          <w:szCs w:val="24"/>
        </w:rPr>
        <w:footnoteReference w:id="8"/>
      </w:r>
      <w:r>
        <w:rPr>
          <w:color w:val="000000"/>
          <w:sz w:val="24"/>
          <w:szCs w:val="24"/>
        </w:rPr>
        <w:t xml:space="preserve">. 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результате бедствия, аварии, вынужденной или непреднамеренной посадки экипаж космического корабля приземлится на территории другого государства, или будет обнаружен в открытом море или в любом другом месте, не находящемся под юрисдикцией какого-либо государства, он должен быть в безопасности и немедленно возвращен представителям властей, осуществивших запуск</w:t>
      </w:r>
      <w:r>
        <w:rPr>
          <w:rStyle w:val="a3"/>
          <w:color w:val="000000"/>
          <w:sz w:val="24"/>
          <w:szCs w:val="24"/>
        </w:rPr>
        <w:footnoteReference w:id="9"/>
      </w:r>
      <w:r>
        <w:rPr>
          <w:color w:val="000000"/>
          <w:sz w:val="24"/>
          <w:szCs w:val="24"/>
        </w:rPr>
        <w:t>. В операциях по поискам и спасению космонавтов могут участвовать и власти, осуществившие запуск. Такие действия предпринимаются на основе сотрудничества сторон под руководством и контролем государства, осуществляющего юрисдикцию над территорией, где проводятся поисково-спасательная операция.</w:t>
      </w:r>
    </w:p>
    <w:p w:rsidR="00A26DBC" w:rsidRDefault="00A26DB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вступительная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Тункина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1977 (first published: Brownlie J. Principles of Public International Law. Second Edition. Oxford, 1973).</w:t>
      </w:r>
    </w:p>
    <w:p w:rsidR="00A26DBC" w:rsidRDefault="00A26D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6DB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BC" w:rsidRDefault="00A26DBC">
      <w:r>
        <w:separator/>
      </w:r>
    </w:p>
  </w:endnote>
  <w:endnote w:type="continuationSeparator" w:id="0">
    <w:p w:rsidR="00A26DBC" w:rsidRDefault="00A2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BC" w:rsidRDefault="00A26DBC">
      <w:r>
        <w:separator/>
      </w:r>
    </w:p>
  </w:footnote>
  <w:footnote w:type="continuationSeparator" w:id="0">
    <w:p w:rsidR="00A26DBC" w:rsidRDefault="00A26DBC">
      <w:r>
        <w:continuationSeparator/>
      </w:r>
    </w:p>
  </w:footnote>
  <w:footnote w:id="1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Ст.</w:t>
      </w:r>
      <w:r>
        <w:rPr>
          <w:lang w:val="en-US"/>
        </w:rPr>
        <w:t>I</w:t>
      </w:r>
      <w:r>
        <w:t xml:space="preserve"> Конвенции о принципах деятельности государств по исследованию и использованию космического пространства, включая Луну и другие небесные тела.</w:t>
      </w:r>
    </w:p>
  </w:footnote>
  <w:footnote w:id="2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ст.</w:t>
      </w:r>
      <w:r>
        <w:rPr>
          <w:lang w:val="en-US"/>
        </w:rPr>
        <w:t>III</w:t>
      </w:r>
      <w:r>
        <w:t xml:space="preserve"> Конвенции о принципах деятельности государств по исследованию и использованию космического пространства, включая Луну и другие небесные тела.</w:t>
      </w:r>
    </w:p>
  </w:footnote>
  <w:footnote w:id="3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Ст.</w:t>
      </w:r>
      <w:r>
        <w:rPr>
          <w:lang w:val="en-US"/>
        </w:rPr>
        <w:t>II</w:t>
      </w:r>
      <w:r>
        <w:t xml:space="preserve"> Конвенции о принципах деятельности государств по исследованию и использованию космического пространства, включая Луну и другие небесные тела; ст.</w:t>
      </w:r>
      <w:r>
        <w:rPr>
          <w:lang w:val="en-US"/>
        </w:rPr>
        <w:t>I</w:t>
      </w:r>
      <w:r>
        <w:t xml:space="preserve"> Договора о запрещении испытаний ядерного оружия в атмосфере, в космическом пространстве и под водой.</w:t>
      </w:r>
    </w:p>
  </w:footnote>
  <w:footnote w:id="4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i/>
          <w:iCs/>
        </w:rPr>
        <w:t>1</w:t>
      </w:r>
      <w:r>
        <w:t>, с.531.</w:t>
      </w:r>
    </w:p>
  </w:footnote>
  <w:footnote w:id="5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ст.</w:t>
      </w:r>
      <w:r>
        <w:rPr>
          <w:lang w:val="en-US"/>
        </w:rPr>
        <w:t>IV</w:t>
      </w:r>
      <w:r>
        <w:t xml:space="preserve"> Конвенции о принципах деятельности государств по исследованию и использованию космического пространства, включая Луну и другие небесные тела.</w:t>
      </w:r>
    </w:p>
  </w:footnote>
  <w:footnote w:id="6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Конвенция о регистрации объектов, запускаемых в космическое пространство. </w:t>
      </w:r>
    </w:p>
  </w:footnote>
  <w:footnote w:id="7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Конвенция о международной ответственности за ущерб, причиненный космическими объектами.</w:t>
      </w:r>
    </w:p>
  </w:footnote>
  <w:footnote w:id="8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ст.</w:t>
      </w:r>
      <w:r>
        <w:rPr>
          <w:lang w:val="en-US"/>
        </w:rPr>
        <w:t>V</w:t>
      </w:r>
      <w:r>
        <w:t xml:space="preserve"> Конвенции о принципах деятельности государств по исследованию и использованию космического пространства, включая Луну и другие небесные тела.</w:t>
      </w:r>
    </w:p>
  </w:footnote>
  <w:footnote w:id="9">
    <w:p w:rsidR="00A26DBC" w:rsidRDefault="00A26DBC">
      <w:pPr>
        <w:pStyle w:val="a5"/>
      </w:pPr>
      <w:r>
        <w:rPr>
          <w:rStyle w:val="a3"/>
        </w:rPr>
        <w:footnoteRef/>
      </w:r>
      <w:r>
        <w:t xml:space="preserve"> См.: ст.4 Соглашения о спасении космонавтов и возвращении объектов, запущенных в космическое пространство.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51F81E3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F6BC53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1FB4A2DA"/>
    <w:lvl w:ilvl="0" w:tplc="05C0EBAE">
      <w:numFmt w:val="none"/>
      <w:lvlText w:val=""/>
      <w:lvlJc w:val="left"/>
      <w:pPr>
        <w:tabs>
          <w:tab w:val="num" w:pos="360"/>
        </w:tabs>
      </w:pPr>
    </w:lvl>
    <w:lvl w:ilvl="1" w:tplc="297E4D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007F9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0619F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B288B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80D9A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AAEC3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C212C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C236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D51AD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6E5E6D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F8E282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9A16D9D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73480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9D1"/>
    <w:rsid w:val="002B19D1"/>
    <w:rsid w:val="009327E7"/>
    <w:rsid w:val="00A26DBC"/>
    <w:rsid w:val="00F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DB477C-1D0F-47B6-A919-0EEB9E4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космическое право</vt:lpstr>
    </vt:vector>
  </TitlesOfParts>
  <Company>PERSONAL COMPUTERS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космическое право</dc:title>
  <dc:subject/>
  <dc:creator>USER</dc:creator>
  <cp:keywords/>
  <dc:description/>
  <cp:lastModifiedBy>admin</cp:lastModifiedBy>
  <cp:revision>2</cp:revision>
  <dcterms:created xsi:type="dcterms:W3CDTF">2014-01-26T07:17:00Z</dcterms:created>
  <dcterms:modified xsi:type="dcterms:W3CDTF">2014-01-26T07:17:00Z</dcterms:modified>
</cp:coreProperties>
</file>