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0A" w:rsidRDefault="00D02313">
      <w:pPr>
        <w:pStyle w:val="Z16"/>
        <w:jc w:val="center"/>
      </w:pPr>
      <w:bookmarkStart w:id="0" w:name="_Toc11814619"/>
      <w:r>
        <w:t>Механизмы выявления различных дефектов</w:t>
      </w:r>
      <w:bookmarkEnd w:id="0"/>
    </w:p>
    <w:p w:rsidR="0094130A" w:rsidRDefault="0094130A">
      <w:pPr>
        <w:pStyle w:val="Z16"/>
        <w:jc w:val="center"/>
      </w:pPr>
    </w:p>
    <w:p w:rsidR="0094130A" w:rsidRDefault="00D02313">
      <w:pPr>
        <w:pStyle w:val="Mystyle"/>
      </w:pPr>
      <w:r>
        <w:t xml:space="preserve">Для организации нормативно-технического обеспечения и сопровождения данными критичных элементов на различных этапах восстановления необходимо создание и ведение </w:t>
      </w:r>
      <w:r>
        <w:rPr>
          <w:i/>
          <w:iCs/>
        </w:rPr>
        <w:t>баз данных</w:t>
      </w:r>
      <w:r>
        <w:t xml:space="preserve"> о дефектах и их положениях, размерах, результатах испытаний и диагностики, проблемах восстановления, структурных схемах систем и деревьях отказов и т.д. Эти данные являются важными как для оценки вероятности проявления дефектов, так и для более тщательного их изучения. Ведение "информационного паспорта" исследуемых критичных элементов с данными о технико-экономических показателях и операциях, которые выполнялись с элементами на предыдущих периодах восстановления, позволяют реализовать наиболее рациональные пути и способы устранения дефектов.</w:t>
      </w:r>
    </w:p>
    <w:p w:rsidR="0094130A" w:rsidRDefault="00D02313">
      <w:pPr>
        <w:pStyle w:val="Mystyle"/>
      </w:pPr>
      <w:r>
        <w:t>На основе анализа информационного паспорта элемента для различных периодов восстановления можно говорить: о контроле над развитием дефекта, сравнивать обнаруженные дефекты с определенными эталонами для их ранжирования, проводить классификационный анализ, принимая к вниманию аспекты связанные с безотказностью и ресурсами для системы. Информационный паспорт элементов это также основа для выбора и построения принципов контроля с учетом технических характеристик и экономических показателей.</w:t>
      </w:r>
    </w:p>
    <w:p w:rsidR="0094130A" w:rsidRDefault="00D02313">
      <w:pPr>
        <w:pStyle w:val="Mystyle"/>
      </w:pPr>
      <w:r>
        <w:t>Отсутствие эксплуатационных данных и материалов диагностики и контроля не позволяет рационально организовывать эксплуатацию систем таким образом, чтобы расходовать технический ресурс как можно дольше, не снижая при этом уровень надежности в целом.</w:t>
      </w:r>
    </w:p>
    <w:p w:rsidR="0094130A" w:rsidRDefault="00D02313">
      <w:pPr>
        <w:pStyle w:val="Mystyle"/>
      </w:pPr>
      <w:r>
        <w:t>Проблема рационального использования технического ресурса для отдельных элементов и агрегатов системы ставит задачи исследования моделей и механизмов деградации элементов систем. Построение моделей для моделирования развития дефектов различного типа для различных типов элементов (кабели, трубы, двигатели и т.д.) с учетом различных внешних условий (окружающей среды) и возмущений является актуальной задачей.</w:t>
      </w:r>
    </w:p>
    <w:p w:rsidR="0094130A" w:rsidRDefault="00D02313">
      <w:pPr>
        <w:pStyle w:val="Mystyle"/>
      </w:pPr>
      <w:r>
        <w:t>Отметим также задачу выбора метода (инструментов) или комплекса методов неразрушающего контроля (НК) для проведения диагностики технического состояния как отдельных элементов, так и их совокупности с учетом технико-экономических показателей. Инженерная практика выдвигает ряд требований, которым должны удовлетворять методы, прежде всего, например, возможность визуализации дефектов, высокая выявляемоесть дефектов, чувствительность приборов, компактность и практичность оборудования. Для различных работ применяются как отдельные методы НК, так и их комбинации (комплекты). Однако их совместное сочетание (например, визуальный и вихретоковый) позволяют получить более достоверную информацию о качестве металлоизделий, например, в космосе [3].</w:t>
      </w:r>
    </w:p>
    <w:p w:rsidR="0094130A" w:rsidRDefault="00D02313">
      <w:pPr>
        <w:pStyle w:val="Mystyle"/>
      </w:pPr>
      <w:r>
        <w:t>В работах [8, 9, 10, 11] рассмотрены роль и место методов НК для обеспечения надежности и долговечности систем с высокой ценой отказа, а также рассматриваются модели и способы комплексирования различных по своей природе и затратам ресурсов методов НК.</w:t>
      </w:r>
    </w:p>
    <w:p w:rsidR="0094130A" w:rsidRDefault="0094130A">
      <w:pPr>
        <w:pStyle w:val="Mystyle"/>
      </w:pPr>
    </w:p>
    <w:p w:rsidR="0094130A" w:rsidRDefault="00D02313">
      <w:pPr>
        <w:pStyle w:val="Z14"/>
      </w:pPr>
      <w:bookmarkStart w:id="1" w:name="_Toc11814620"/>
      <w:r>
        <w:t>Планирование восстановления критичных элементов</w:t>
      </w:r>
      <w:bookmarkEnd w:id="1"/>
    </w:p>
    <w:p w:rsidR="0094130A" w:rsidRDefault="00D02313">
      <w:pPr>
        <w:pStyle w:val="Mystyle"/>
      </w:pPr>
      <w:r>
        <w:t>При решении задач восстановления актуальными являются модели и методы планирования восстановления элементов систем, которые учитывают возможности совмещения отдельных операций ТО, ремонта и технологических процессов, методы совершенствования расписаний обслуживания с учетом различных критериев и т.д. Для подготовки ТО критичных элементов необходимо также планировать обеспечение их различного рода ресурсами и разработать модели расходования ресурсов на основе теории управления запасами. Важными являются задачи планирования объемов и сроков проведения ТО, разработки оптимальных стратегий ремонтов по различным показателям готовности, стоимости и т.д. Основанием для назначения того или иного вида ремонта является выработка технологическим оборудованием технического ресурса, при котором создается угроза безопасности объекта.</w:t>
      </w:r>
    </w:p>
    <w:p w:rsidR="0094130A" w:rsidRDefault="00D02313">
      <w:pPr>
        <w:pStyle w:val="Mystyle"/>
      </w:pPr>
      <w:r>
        <w:t>При разработке таких моделей необходимо формировать показатели критериев и учесть ограничения на потребление различного рода ресурсов (численность специалистов, участвующих в проведении эксплуатационных процессов), оборудования, финансовых затрат, временных ограничений на восстановление.</w:t>
      </w:r>
    </w:p>
    <w:p w:rsidR="0094130A" w:rsidRDefault="00D02313">
      <w:pPr>
        <w:pStyle w:val="Mystyle"/>
      </w:pPr>
      <w:r>
        <w:t>Рассмотрим одну из задач принятия решений по выбору способов восстановления элементов систем.</w:t>
      </w:r>
    </w:p>
    <w:p w:rsidR="0094130A" w:rsidRDefault="00D02313">
      <w:pPr>
        <w:pStyle w:val="Mystyle"/>
      </w:pPr>
      <w:r>
        <w:t>Предположим, что для фиксированного периода времени Т в результате проведения исследования технического состояния выделенных критичных элементов и обработки результатов экспериментов по диагностике элементов (отдельных агрегатов или систем) с применением комплекса методов НК определены возможные способы восстановления элементов и заданы ограничения по технико-экономическим показателям на проведение работ.</w:t>
      </w:r>
    </w:p>
    <w:p w:rsidR="0094130A" w:rsidRDefault="00D02313">
      <w:pPr>
        <w:pStyle w:val="Mystyle"/>
        <w:rPr>
          <w:i/>
          <w:iCs/>
        </w:rPr>
      </w:pPr>
      <w:r>
        <w:t xml:space="preserve">Обозначим через </w:t>
      </w:r>
      <w:r>
        <w:rPr>
          <w:i/>
          <w:iCs/>
        </w:rPr>
        <w:t>Е={e</w:t>
      </w:r>
      <w:r>
        <w:rPr>
          <w:i/>
          <w:iCs/>
          <w:vertAlign w:val="subscript"/>
        </w:rPr>
        <w:t>j</w:t>
      </w:r>
      <w:r>
        <w:rPr>
          <w:i/>
          <w:iCs/>
        </w:rPr>
        <w:t>, j Є J), J={1,...,n},   (5)</w:t>
      </w:r>
    </w:p>
    <w:p w:rsidR="0094130A" w:rsidRDefault="00D02313">
      <w:pPr>
        <w:pStyle w:val="Mystyle"/>
      </w:pPr>
      <w:r>
        <w:rPr>
          <w:i/>
          <w:iCs/>
        </w:rPr>
        <w:t xml:space="preserve"> -</w:t>
      </w:r>
      <w:r>
        <w:t xml:space="preserve"> множество элементов (агрегатов), у которых на данный период восстановления Т необходимо проводить комплекс мероприятий, (ТО различного уровня), восстановление (профилактику, замену и т.д.). Объемы ремонтно-профи-лактмческих работ для каждого агрегата или системы зависят от экспертной информации о величине его остаточного ресурса, интенсивности отказов, результатов контроля систем, выделенных ресурсов и т.д.</w:t>
      </w:r>
    </w:p>
    <w:p w:rsidR="0094130A" w:rsidRDefault="00D02313">
      <w:pPr>
        <w:pStyle w:val="Mystyle"/>
      </w:pPr>
      <w:r>
        <w:t>Реализация восстановления работоспособности элемента е</w:t>
      </w:r>
      <w:r>
        <w:rPr>
          <w:i/>
          <w:iCs/>
          <w:vertAlign w:val="subscript"/>
        </w:rPr>
        <w:t>j</w:t>
      </w:r>
      <w:r>
        <w:t xml:space="preserve"> может осуществляться различными технологическими способами </w:t>
      </w:r>
    </w:p>
    <w:p w:rsidR="0094130A" w:rsidRDefault="00D02313">
      <w:pPr>
        <w:pStyle w:val="Mystyle"/>
      </w:pPr>
      <w:r>
        <w:rPr>
          <w:i/>
          <w:iCs/>
        </w:rPr>
        <w:t>x</w:t>
      </w:r>
      <w:r>
        <w:rPr>
          <w:i/>
          <w:iCs/>
          <w:vertAlign w:val="subscript"/>
        </w:rPr>
        <w:t>jk</w:t>
      </w:r>
      <w:r>
        <w:rPr>
          <w:i/>
          <w:iCs/>
        </w:rPr>
        <w:t xml:space="preserve"> Є</w:t>
      </w:r>
      <w:r>
        <w:t xml:space="preserve"> </w:t>
      </w:r>
      <w:r>
        <w:rPr>
          <w:i/>
          <w:iCs/>
        </w:rPr>
        <w:t>X</w:t>
      </w:r>
      <w:r>
        <w:rPr>
          <w:i/>
          <w:iCs/>
          <w:vertAlign w:val="subscript"/>
        </w:rPr>
        <w:t>j</w:t>
      </w:r>
      <w:r>
        <w:rPr>
          <w:i/>
          <w:iCs/>
        </w:rPr>
        <w:t xml:space="preserve"> ={х</w:t>
      </w:r>
      <w:r>
        <w:rPr>
          <w:i/>
          <w:iCs/>
          <w:vertAlign w:val="subscript"/>
        </w:rPr>
        <w:t>j1</w:t>
      </w:r>
      <w:r>
        <w:rPr>
          <w:i/>
          <w:iCs/>
        </w:rPr>
        <w:t>, х</w:t>
      </w:r>
      <w:r>
        <w:rPr>
          <w:i/>
          <w:iCs/>
          <w:vertAlign w:val="subscript"/>
        </w:rPr>
        <w:t>j2</w:t>
      </w:r>
      <w:r>
        <w:rPr>
          <w:i/>
          <w:iCs/>
        </w:rPr>
        <w:t>,...,x</w:t>
      </w:r>
      <w:r>
        <w:rPr>
          <w:i/>
          <w:iCs/>
          <w:vertAlign w:val="subscript"/>
        </w:rPr>
        <w:t>jk*</w:t>
      </w:r>
      <w:r>
        <w:rPr>
          <w:i/>
          <w:iCs/>
        </w:rPr>
        <w:t xml:space="preserve"> }</w:t>
      </w:r>
      <w:r>
        <w:t xml:space="preserve">      (6)</w:t>
      </w:r>
    </w:p>
    <w:p w:rsidR="0094130A" w:rsidRDefault="00D02313">
      <w:pPr>
        <w:pStyle w:val="Mystyle"/>
      </w:pPr>
      <w:r>
        <w:t xml:space="preserve">Тогда </w:t>
      </w:r>
      <w:r>
        <w:rPr>
          <w:i/>
          <w:iCs/>
        </w:rPr>
        <w:t>х = (х</w:t>
      </w:r>
      <w:r>
        <w:rPr>
          <w:i/>
          <w:iCs/>
          <w:vertAlign w:val="subscript"/>
        </w:rPr>
        <w:t>1k1</w:t>
      </w:r>
      <w:r>
        <w:rPr>
          <w:i/>
          <w:iCs/>
        </w:rPr>
        <w:t>,...х</w:t>
      </w:r>
      <w:r>
        <w:rPr>
          <w:i/>
          <w:iCs/>
          <w:vertAlign w:val="subscript"/>
        </w:rPr>
        <w:t>1kj</w:t>
      </w:r>
      <w:r>
        <w:rPr>
          <w:i/>
          <w:iCs/>
        </w:rPr>
        <w:t>,...,х</w:t>
      </w:r>
      <w:r>
        <w:rPr>
          <w:i/>
          <w:iCs/>
          <w:vertAlign w:val="subscript"/>
        </w:rPr>
        <w:t>nkn</w:t>
      </w:r>
      <w:r>
        <w:rPr>
          <w:i/>
          <w:iCs/>
        </w:rPr>
        <w:t xml:space="preserve">)    </w:t>
      </w:r>
      <w:r>
        <w:t>(7)</w:t>
      </w:r>
      <w:r>
        <w:rPr>
          <w:i/>
          <w:iCs/>
        </w:rPr>
        <w:t xml:space="preserve"> -</w:t>
      </w:r>
      <w:r>
        <w:t xml:space="preserve"> перечень способов восстановления всех критичных элементов системы.</w:t>
      </w:r>
    </w:p>
    <w:p w:rsidR="0094130A" w:rsidRDefault="00D02313">
      <w:pPr>
        <w:pStyle w:val="Mystyle"/>
      </w:pPr>
      <w:r>
        <w:t>При проведении работ могут задействоваться: различное число бригад, ремонтных органов, оборудование различного типа и т.д., для различных элементов необходимы финансовые и ресурсные затраты. От этих затрат зависит качество и сроки проведения работ (замена узла новым или замена (восстановление) его части и т.д.), что и определяет показатель вероятности не достижения предельного состояния после их восстановления.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6"/>
        <w:gridCol w:w="3972"/>
      </w:tblGrid>
      <w:tr w:rsidR="009413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CellSpacing w:w="0" w:type="dxa"/>
              <w:tblInd w:w="8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000" w:firstRow="0" w:lastRow="0" w:firstColumn="0" w:lastColumn="0" w:noHBand="0" w:noVBand="0"/>
            </w:tblPr>
            <w:tblGrid>
              <w:gridCol w:w="1290"/>
            </w:tblGrid>
            <w:tr w:rsidR="0094130A">
              <w:trPr>
                <w:tblCellSpacing w:w="0" w:type="dxa"/>
              </w:trPr>
              <w:tc>
                <w:tcPr>
                  <w:tcW w:w="0" w:type="auto"/>
                  <w:shd w:val="clear" w:color="auto" w:fill="000000"/>
                  <w:vAlign w:val="center"/>
                </w:tcPr>
                <w:tbl>
                  <w:tblPr>
                    <w:tblW w:w="5000" w:type="pct"/>
                    <w:tblCellSpacing w:w="0" w:type="dxa"/>
                    <w:tblInd w:w="8" w:type="dxa"/>
                    <w:tblCellMar>
                      <w:top w:w="180" w:type="dxa"/>
                      <w:left w:w="180" w:type="dxa"/>
                      <w:bottom w:w="180" w:type="dxa"/>
                      <w:right w:w="18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20"/>
                  </w:tblGrid>
                  <w:tr w:rsidR="0094130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CCCC99"/>
                        <w:vAlign w:val="center"/>
                      </w:tcPr>
                      <w:p w:rsidR="0094130A" w:rsidRDefault="00D02313">
                        <w:pPr>
                          <w:pStyle w:val="Mystyle"/>
                        </w:pPr>
                        <w:r>
                          <w:rPr>
                            <w:b/>
                            <w:bCs/>
                          </w:rPr>
                          <w:t>x</w:t>
                        </w:r>
                        <w:r>
                          <w:rPr>
                            <w:b/>
                            <w:bCs/>
                            <w:vertAlign w:val="subscript"/>
                          </w:rPr>
                          <w:t>jk</w:t>
                        </w:r>
                      </w:p>
                    </w:tc>
                  </w:tr>
                </w:tbl>
                <w:p w:rsidR="0094130A" w:rsidRDefault="0094130A">
                  <w:pPr>
                    <w:pStyle w:val="Mystyle"/>
                    <w:rPr>
                      <w:rFonts w:ascii="Arial Unicode MS" w:eastAsia="Arial Unicode MS" w:hAnsi="Arial Unicode MS"/>
                    </w:rPr>
                  </w:pPr>
                </w:p>
              </w:tc>
            </w:tr>
          </w:tbl>
          <w:p w:rsidR="0094130A" w:rsidRDefault="0094130A">
            <w:pPr>
              <w:pStyle w:val="Mystyle"/>
              <w:rPr>
                <w:rFonts w:ascii="Arial Unicode MS" w:eastAsia="Arial Unicode MS" w:hAnsi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30A" w:rsidRDefault="00D02313">
            <w:pPr>
              <w:pStyle w:val="Mystyle"/>
            </w:pPr>
            <w:r>
              <w:t>- ЗАМЕНА</w:t>
            </w:r>
            <w:r>
              <w:br/>
              <w:t>- ЧАСТИЧНОЕ ВОССТАНОВЛЕНИЕ</w:t>
            </w:r>
            <w:r>
              <w:br/>
              <w:t>- РЕЗЕРВ</w:t>
            </w:r>
          </w:p>
        </w:tc>
      </w:tr>
    </w:tbl>
    <w:p w:rsidR="0094130A" w:rsidRDefault="00D02313">
      <w:pPr>
        <w:pStyle w:val="Mystyle"/>
      </w:pPr>
      <w:r>
        <w:t>Рис.1. Возможные варианты восстановления критичных элементов систем</w:t>
      </w:r>
    </w:p>
    <w:p w:rsidR="0094130A" w:rsidRDefault="00D02313">
      <w:pPr>
        <w:pStyle w:val="Mystyle"/>
      </w:pPr>
      <w:r>
        <w:t>Определим для каждого способа восстановления x</w:t>
      </w:r>
      <w:r>
        <w:rPr>
          <w:vertAlign w:val="subscript"/>
        </w:rPr>
        <w:t>jk</w:t>
      </w:r>
      <w:r>
        <w:t xml:space="preserve"> показатели планируемых вероятностей не перехода в предельное состояние </w:t>
      </w:r>
      <w:r>
        <w:rPr>
          <w:i/>
          <w:iCs/>
        </w:rPr>
        <w:t>р</w:t>
      </w:r>
      <w:r>
        <w:rPr>
          <w:i/>
          <w:iCs/>
          <w:vertAlign w:val="subscript"/>
        </w:rPr>
        <w:t>j</w:t>
      </w:r>
      <w:r>
        <w:rPr>
          <w:i/>
          <w:iCs/>
        </w:rPr>
        <w:t xml:space="preserve"> (</w:t>
      </w:r>
      <w:r>
        <w:t>x</w:t>
      </w:r>
      <w:r>
        <w:rPr>
          <w:vertAlign w:val="subscript"/>
        </w:rPr>
        <w:t>jk</w:t>
      </w:r>
      <w:r>
        <w:t xml:space="preserve"> </w:t>
      </w:r>
      <w:r>
        <w:rPr>
          <w:i/>
          <w:iCs/>
        </w:rPr>
        <w:t>)</w:t>
      </w:r>
      <w:r>
        <w:t xml:space="preserve"> и затрат ресурсов </w:t>
      </w:r>
      <w:r>
        <w:rPr>
          <w:i/>
          <w:iCs/>
        </w:rPr>
        <w:t>g</w:t>
      </w:r>
      <w:r>
        <w:rPr>
          <w:i/>
          <w:iCs/>
          <w:vertAlign w:val="subscript"/>
        </w:rPr>
        <w:t>j</w:t>
      </w:r>
      <w:r>
        <w:rPr>
          <w:i/>
          <w:iCs/>
        </w:rPr>
        <w:t xml:space="preserve"> (</w:t>
      </w:r>
      <w:r>
        <w:t>x</w:t>
      </w:r>
      <w:r>
        <w:rPr>
          <w:vertAlign w:val="subscript"/>
        </w:rPr>
        <w:t>jk</w:t>
      </w:r>
      <w:r>
        <w:t xml:space="preserve"> </w:t>
      </w:r>
      <w:r>
        <w:rPr>
          <w:i/>
          <w:iCs/>
        </w:rPr>
        <w:t xml:space="preserve">) </w:t>
      </w:r>
      <w:r>
        <w:t>(например, среднее время восстановления элементов и систем, стоимость ремонтно-профилактических работ, трудозатраты и т.д.).</w:t>
      </w:r>
    </w:p>
    <w:p w:rsidR="0094130A" w:rsidRDefault="00D02313">
      <w:pPr>
        <w:pStyle w:val="Mystyle"/>
      </w:pPr>
      <w:r>
        <w:t>Данные по ресурсам заносятся в таблицу в которой для каждого элемента фиксируются возможные способы его восстановления.</w:t>
      </w:r>
    </w:p>
    <w:p w:rsidR="0094130A" w:rsidRDefault="00D02313">
      <w:pPr>
        <w:pStyle w:val="Mystyle"/>
      </w:pPr>
      <w:r>
        <w:t xml:space="preserve">Пусть заданы ограничения </w:t>
      </w:r>
      <w:r>
        <w:rPr>
          <w:i/>
          <w:iCs/>
        </w:rPr>
        <w:t>b</w:t>
      </w:r>
      <w:r>
        <w:rPr>
          <w:i/>
          <w:iCs/>
          <w:vertAlign w:val="subscript"/>
        </w:rPr>
        <w:t>i</w:t>
      </w:r>
      <w:r>
        <w:rPr>
          <w:i/>
          <w:iCs/>
        </w:rPr>
        <w:t>,</w:t>
      </w:r>
      <w:r>
        <w:t xml:space="preserve"> i </w:t>
      </w:r>
      <w:r>
        <w:rPr>
          <w:i/>
          <w:iCs/>
        </w:rPr>
        <w:t>Є I = [1,..., т}</w:t>
      </w:r>
      <w:r>
        <w:t xml:space="preserve"> по каждому ресурсу для планового периода времени Т. Тогда задача выбора способов восстановления элементов системы может быть сформулирована следующим образом:</w:t>
      </w:r>
    </w:p>
    <w:p w:rsidR="0094130A" w:rsidRDefault="00D02313">
      <w:pPr>
        <w:pStyle w:val="Mystyle"/>
      </w:pPr>
      <w:r>
        <w:t>максимизировать надежность</w:t>
      </w:r>
    </w:p>
    <w:p w:rsidR="0094130A" w:rsidRDefault="00D02313">
      <w:pPr>
        <w:pStyle w:val="Mystyle"/>
      </w:pPr>
      <w:r>
        <w:rPr>
          <w:i/>
          <w:iCs/>
        </w:rPr>
        <w:t xml:space="preserve">   Р(х) = </w:t>
      </w:r>
      <w:r>
        <w:rPr>
          <w:rStyle w:val="ac"/>
        </w:rPr>
        <w:t>П</w:t>
      </w:r>
      <w:r>
        <w:rPr>
          <w:i/>
          <w:iCs/>
        </w:rPr>
        <w:t xml:space="preserve"> p</w:t>
      </w:r>
      <w:r>
        <w:rPr>
          <w:i/>
          <w:iCs/>
          <w:vertAlign w:val="subscript"/>
        </w:rPr>
        <w:t>j</w:t>
      </w:r>
      <w:r>
        <w:rPr>
          <w:i/>
          <w:iCs/>
        </w:rPr>
        <w:t xml:space="preserve"> (</w:t>
      </w:r>
      <w:r>
        <w:t>x</w:t>
      </w:r>
      <w:r>
        <w:rPr>
          <w:vertAlign w:val="subscript"/>
        </w:rPr>
        <w:t>jk</w:t>
      </w:r>
      <w:r>
        <w:rPr>
          <w:i/>
          <w:iCs/>
        </w:rPr>
        <w:t xml:space="preserve">) --&gt; mах,    </w:t>
      </w:r>
      <w:r>
        <w:t>(8)</w:t>
      </w:r>
    </w:p>
    <w:p w:rsidR="0094130A" w:rsidRDefault="00D02313">
      <w:pPr>
        <w:pStyle w:val="Mystyle"/>
      </w:pPr>
      <w:r>
        <w:t>при ограничениях на ресурсы восстановления</w:t>
      </w:r>
    </w:p>
    <w:p w:rsidR="0094130A" w:rsidRDefault="00D02313">
      <w:pPr>
        <w:pStyle w:val="Mystyle"/>
        <w:rPr>
          <w:lang w:val="en-US"/>
        </w:rPr>
      </w:pPr>
      <w:r>
        <w:rPr>
          <w:i/>
          <w:iCs/>
          <w:lang w:val="en-US"/>
        </w:rPr>
        <w:t>  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g</w:t>
      </w:r>
      <w:r>
        <w:rPr>
          <w:i/>
          <w:iCs/>
          <w:vertAlign w:val="subscript"/>
          <w:lang w:val="en-US"/>
        </w:rPr>
        <w:t>i</w:t>
      </w:r>
      <w:r>
        <w:rPr>
          <w:i/>
          <w:iCs/>
          <w:lang w:val="en-US"/>
        </w:rPr>
        <w:t xml:space="preserve"> (x) = </w:t>
      </w:r>
      <w:r>
        <w:rPr>
          <w:rStyle w:val="ac"/>
          <w:i/>
          <w:iCs/>
          <w:lang w:val="en-US"/>
        </w:rPr>
        <w:t>SUM</w:t>
      </w:r>
      <w:r>
        <w:rPr>
          <w:i/>
          <w:iCs/>
          <w:lang w:val="en-US"/>
        </w:rPr>
        <w:t xml:space="preserve"> g</w:t>
      </w:r>
      <w:r>
        <w:rPr>
          <w:i/>
          <w:iCs/>
          <w:vertAlign w:val="subscript"/>
          <w:lang w:val="en-US"/>
        </w:rPr>
        <w:t>ij</w:t>
      </w:r>
      <w:r>
        <w:rPr>
          <w:i/>
          <w:iCs/>
          <w:lang w:val="en-US"/>
        </w:rPr>
        <w:t xml:space="preserve"> (</w:t>
      </w:r>
      <w:r>
        <w:rPr>
          <w:lang w:val="en-US"/>
        </w:rPr>
        <w:t>x</w:t>
      </w:r>
      <w:r>
        <w:rPr>
          <w:vertAlign w:val="subscript"/>
          <w:lang w:val="en-US"/>
        </w:rPr>
        <w:t>jk</w:t>
      </w:r>
      <w:r>
        <w:rPr>
          <w:i/>
          <w:iCs/>
          <w:lang w:val="en-US"/>
        </w:rPr>
        <w:t>) &lt;= b</w:t>
      </w:r>
      <w:r>
        <w:rPr>
          <w:i/>
          <w:iCs/>
          <w:vertAlign w:val="subscript"/>
          <w:lang w:val="en-US"/>
        </w:rPr>
        <w:t>i</w:t>
      </w:r>
      <w:r>
        <w:rPr>
          <w:lang w:val="en-US"/>
        </w:rPr>
        <w:t xml:space="preserve"> ,i </w:t>
      </w:r>
      <w:r>
        <w:t>Є</w:t>
      </w:r>
      <w:r>
        <w:rPr>
          <w:lang w:val="en-US"/>
        </w:rPr>
        <w:t xml:space="preserve"> I</w:t>
      </w:r>
    </w:p>
    <w:p w:rsidR="0094130A" w:rsidRDefault="00D02313">
      <w:pPr>
        <w:pStyle w:val="Mystyle"/>
        <w:rPr>
          <w:lang w:val="en-US"/>
        </w:rPr>
      </w:pPr>
      <w:r>
        <w:rPr>
          <w:i/>
          <w:iCs/>
          <w:lang w:val="en-US"/>
        </w:rPr>
        <w:t>x =(x</w:t>
      </w:r>
      <w:r>
        <w:rPr>
          <w:i/>
          <w:iCs/>
          <w:vertAlign w:val="subscript"/>
          <w:lang w:val="en-US"/>
        </w:rPr>
        <w:t>1k1</w:t>
      </w:r>
      <w:r>
        <w:rPr>
          <w:i/>
          <w:iCs/>
          <w:lang w:val="en-US"/>
        </w:rPr>
        <w:t xml:space="preserve"> ,...x</w:t>
      </w:r>
      <w:r>
        <w:rPr>
          <w:i/>
          <w:iCs/>
          <w:vertAlign w:val="subscript"/>
          <w:lang w:val="en-US"/>
        </w:rPr>
        <w:t>jkj</w:t>
      </w:r>
      <w:r>
        <w:rPr>
          <w:i/>
          <w:iCs/>
          <w:lang w:val="en-US"/>
        </w:rPr>
        <w:t xml:space="preserve"> ,...x</w:t>
      </w:r>
      <w:r>
        <w:rPr>
          <w:i/>
          <w:iCs/>
          <w:vertAlign w:val="subscript"/>
          <w:lang w:val="en-US"/>
        </w:rPr>
        <w:t>nkn</w:t>
      </w:r>
      <w:r>
        <w:rPr>
          <w:i/>
          <w:iCs/>
          <w:lang w:val="en-US"/>
        </w:rPr>
        <w:t>}</w:t>
      </w:r>
      <w:r>
        <w:rPr>
          <w:lang w:val="en-US"/>
        </w:rPr>
        <w:t xml:space="preserve"> </w:t>
      </w:r>
      <w:r>
        <w:t>Є</w:t>
      </w:r>
      <w:r>
        <w:rPr>
          <w:lang w:val="en-US"/>
        </w:rPr>
        <w:t xml:space="preserve"> X = </w:t>
      </w:r>
      <w:r>
        <w:rPr>
          <w:rStyle w:val="ac"/>
        </w:rPr>
        <w:t>П</w:t>
      </w:r>
      <w:r>
        <w:rPr>
          <w:lang w:val="en-US"/>
        </w:rPr>
        <w:t xml:space="preserve"> X</w:t>
      </w:r>
      <w:r>
        <w:rPr>
          <w:vertAlign w:val="subscript"/>
          <w:lang w:val="en-US"/>
        </w:rPr>
        <w:t xml:space="preserve">j            </w:t>
      </w:r>
      <w:r>
        <w:rPr>
          <w:lang w:val="en-US"/>
        </w:rPr>
        <w:t>(9)</w:t>
      </w:r>
    </w:p>
    <w:p w:rsidR="0094130A" w:rsidRDefault="00D02313">
      <w:pPr>
        <w:pStyle w:val="Mystyle"/>
      </w:pPr>
      <w:r>
        <w:t>Результатом решения данной задачи являются фиксированные способы восстановления агрегатов или технологических систем в плановый период восстановления Т, после выполнения которых надежность системы является максимальной при выделенных ресурсах. Важно отметить, что при нахождении и интерпретации решений необходимо исследовать их корректность и адекватность. Для решения задачи могут быть использованы алгоритмы, базирующиеся на методе последовательного анализа и отсеивания вариантов [2,3].</w:t>
      </w:r>
    </w:p>
    <w:p w:rsidR="0094130A" w:rsidRDefault="0094130A">
      <w:pPr>
        <w:pStyle w:val="Mystyle"/>
      </w:pPr>
    </w:p>
    <w:p w:rsidR="0094130A" w:rsidRDefault="00D02313">
      <w:pPr>
        <w:pStyle w:val="Z14"/>
        <w:jc w:val="center"/>
      </w:pPr>
      <w:r>
        <w:t>Список литературы</w:t>
      </w:r>
    </w:p>
    <w:p w:rsidR="0094130A" w:rsidRDefault="0094130A">
      <w:pPr>
        <w:pStyle w:val="Mystyle"/>
      </w:pPr>
    </w:p>
    <w:p w:rsidR="0094130A" w:rsidRDefault="00D02313">
      <w:pPr>
        <w:pStyle w:val="Mystyle"/>
        <w:numPr>
          <w:ilvl w:val="0"/>
          <w:numId w:val="8"/>
        </w:numPr>
      </w:pPr>
      <w:r>
        <w:rPr>
          <w:i/>
          <w:iCs/>
        </w:rPr>
        <w:t xml:space="preserve">ГетьманА.Ф., Козин Ю.Н. </w:t>
      </w:r>
      <w:r>
        <w:t>Неразрушающий контроль и безопасность эксплуатации сосудов и трубопроводов давления -М.: Энергоатомиздат, 1997.--288с.</w:t>
      </w:r>
    </w:p>
    <w:p w:rsidR="0094130A" w:rsidRDefault="00D02313">
      <w:pPr>
        <w:pStyle w:val="Mystyle"/>
        <w:numPr>
          <w:ilvl w:val="0"/>
          <w:numId w:val="8"/>
        </w:numPr>
      </w:pPr>
      <w:r>
        <w:rPr>
          <w:i/>
          <w:iCs/>
        </w:rPr>
        <w:t>Клюев В. В.</w:t>
      </w:r>
      <w:r>
        <w:t xml:space="preserve"> Приборы для неразрушающего контроля материалов и изделий. -М. : Машиностроение.- 1986.-488с.</w:t>
      </w:r>
    </w:p>
    <w:p w:rsidR="0094130A" w:rsidRDefault="00D02313">
      <w:pPr>
        <w:pStyle w:val="Mystyle"/>
        <w:numPr>
          <w:ilvl w:val="0"/>
          <w:numId w:val="8"/>
        </w:numPr>
      </w:pPr>
      <w:r>
        <w:rPr>
          <w:i/>
          <w:iCs/>
        </w:rPr>
        <w:t>Лопаткин В. И.</w:t>
      </w:r>
      <w:r>
        <w:t xml:space="preserve"> Методы неразрушающего контроля за рубежом// Проблемы безопасности полетов -1986 .№6. 58-65с.</w:t>
      </w:r>
    </w:p>
    <w:p w:rsidR="0094130A" w:rsidRDefault="00D02313">
      <w:pPr>
        <w:pStyle w:val="Mystyle"/>
        <w:numPr>
          <w:ilvl w:val="0"/>
          <w:numId w:val="8"/>
        </w:numPr>
      </w:pPr>
      <w:r>
        <w:t xml:space="preserve">Испытательная техника: Справочник. В 2-х кн. /Под общ. ред. </w:t>
      </w:r>
      <w:r>
        <w:rPr>
          <w:i/>
          <w:iCs/>
        </w:rPr>
        <w:t>Клюева В.В.</w:t>
      </w:r>
      <w:r>
        <w:t xml:space="preserve"> - М.: Машиностроение, 1982.</w:t>
      </w:r>
    </w:p>
    <w:p w:rsidR="0094130A" w:rsidRDefault="00D02313">
      <w:pPr>
        <w:pStyle w:val="Mystyle"/>
        <w:numPr>
          <w:ilvl w:val="0"/>
          <w:numId w:val="8"/>
        </w:numPr>
      </w:pPr>
      <w:r>
        <w:t xml:space="preserve">Сварка и резка в промышленном строительстве. В 2-х т., Т.2. /Под ред. </w:t>
      </w:r>
      <w:r>
        <w:rPr>
          <w:i/>
          <w:iCs/>
        </w:rPr>
        <w:t>Малышева Б.Д</w:t>
      </w:r>
      <w:r>
        <w:t>. -3-е изд. перераб. и доп.- М.: Стройиздат, 1989.-400с.</w:t>
      </w:r>
    </w:p>
    <w:p w:rsidR="0094130A" w:rsidRDefault="00D02313">
      <w:pPr>
        <w:pStyle w:val="Mystyle"/>
        <w:numPr>
          <w:ilvl w:val="0"/>
          <w:numId w:val="8"/>
        </w:numPr>
      </w:pPr>
      <w:r>
        <w:t>ГОСТ 26-2044-83. Швы стыковых и угловых сварных соединений сосудов и аппаратов, работающих под давлением. Методика ультразвукового контроля.</w:t>
      </w:r>
    </w:p>
    <w:p w:rsidR="0094130A" w:rsidRDefault="00D02313">
      <w:pPr>
        <w:pStyle w:val="Mystyle"/>
        <w:numPr>
          <w:ilvl w:val="0"/>
          <w:numId w:val="8"/>
        </w:numPr>
      </w:pPr>
      <w:r>
        <w:rPr>
          <w:i/>
          <w:iCs/>
        </w:rPr>
        <w:t>Волкович В.Л., Волошин А. Ф., Заславский В. А., Ушаков И. А.</w:t>
      </w:r>
      <w:r>
        <w:t xml:space="preserve"> Модели и алгоритмы оптимизации надежности сложных систем.- Киев: Наукова Думка.-1993.-312с.</w:t>
      </w:r>
    </w:p>
    <w:p w:rsidR="0094130A" w:rsidRDefault="00D02313">
      <w:pPr>
        <w:pStyle w:val="Mystyle"/>
        <w:numPr>
          <w:ilvl w:val="0"/>
          <w:numId w:val="8"/>
        </w:numPr>
      </w:pPr>
      <w:r>
        <w:rPr>
          <w:lang w:val="en-US"/>
        </w:rPr>
        <w:t xml:space="preserve">ASNT Central Certification Program (ACCP) // The American Soiciety for Nondestructive Testing, Inc. </w:t>
      </w:r>
      <w:r>
        <w:t>Revision 3( November, 1997)</w:t>
      </w:r>
    </w:p>
    <w:p w:rsidR="0094130A" w:rsidRDefault="00D02313">
      <w:pPr>
        <w:pStyle w:val="Mystyle"/>
        <w:numPr>
          <w:ilvl w:val="0"/>
          <w:numId w:val="8"/>
        </w:numPr>
      </w:pPr>
      <w:r>
        <w:rPr>
          <w:lang w:val="en-US"/>
        </w:rPr>
        <w:t>European Standart norme, EN 473:1993, January, 1993.-36p.</w:t>
      </w:r>
    </w:p>
    <w:p w:rsidR="0094130A" w:rsidRDefault="00D02313">
      <w:pPr>
        <w:pStyle w:val="Mystyle"/>
        <w:numPr>
          <w:ilvl w:val="0"/>
          <w:numId w:val="8"/>
        </w:numPr>
      </w:pPr>
      <w:r>
        <w:t>Хенли Э., Кумамото X. Надежность технических систем и оценка риска: Пер. с англ. В.С.Сыромятникова, Г.С.Деминой.-М.: Машиностроение, 1984.-528 с.</w:t>
      </w:r>
    </w:p>
    <w:p w:rsidR="0094130A" w:rsidRDefault="00D02313">
      <w:pPr>
        <w:pStyle w:val="Mystyle"/>
        <w:numPr>
          <w:ilvl w:val="0"/>
          <w:numId w:val="8"/>
        </w:numPr>
      </w:pPr>
      <w:r>
        <w:t>Проектирование надежных спутников связи / Афанасьев В.Г., Верхотуров В.И., Заславский В.А. и др./ под редакцией академика М.Ф.Решетнева.-Томск: МГП "РАСКО", 1993.- 221 с.</w:t>
      </w:r>
    </w:p>
    <w:p w:rsidR="0094130A" w:rsidRDefault="00D02313">
      <w:pPr>
        <w:pStyle w:val="Mystyle"/>
        <w:numPr>
          <w:ilvl w:val="0"/>
          <w:numId w:val="8"/>
        </w:numPr>
      </w:pPr>
      <w:r>
        <w:t>Михалевич B.C., Волкович В.Л. Вычислительные методы исследования и проектирования сложных систем.- М.: Наука, 1982.-286С.</w:t>
      </w:r>
    </w:p>
    <w:p w:rsidR="0094130A" w:rsidRDefault="0094130A">
      <w:pPr>
        <w:pStyle w:val="Mystyle"/>
      </w:pPr>
      <w:bookmarkStart w:id="2" w:name="_GoBack"/>
      <w:bookmarkEnd w:id="2"/>
    </w:p>
    <w:sectPr w:rsidR="0094130A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990008A"/>
    <w:multiLevelType w:val="hybridMultilevel"/>
    <w:tmpl w:val="D2DCEF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AF1256D"/>
    <w:multiLevelType w:val="multilevel"/>
    <w:tmpl w:val="164CA986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625E009F"/>
    <w:multiLevelType w:val="hybridMultilevel"/>
    <w:tmpl w:val="27F6633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313"/>
    <w:rsid w:val="00904DBC"/>
    <w:rsid w:val="0094130A"/>
    <w:rsid w:val="00D0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D36FB8-2E74-44D3-8142-89A6616B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9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character" w:styleId="ac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1295</Words>
  <Characters>7387</Characters>
  <Application>Microsoft Office Word</Application>
  <DocSecurity>0</DocSecurity>
  <Lines>61</Lines>
  <Paragraphs>17</Paragraphs>
  <ScaleCrop>false</ScaleCrop>
  <Company>ГУУ</Company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2014-02-18T12:48:00Z</dcterms:created>
  <dcterms:modified xsi:type="dcterms:W3CDTF">2014-02-18T12:48:00Z</dcterms:modified>
</cp:coreProperties>
</file>