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4" w:rsidRDefault="00354BB4">
      <w:pPr>
        <w:pStyle w:val="a5"/>
        <w:rPr>
          <w:lang w:val="en-US"/>
        </w:rPr>
      </w:pPr>
      <w:r>
        <w:t>Микроэлементы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Микроэлементы – это группа химических элементов, которые содержатся в организме человека и животных в очень малых количествах, в пределах 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-10</w:t>
      </w:r>
      <w:r>
        <w:rPr>
          <w:sz w:val="24"/>
          <w:szCs w:val="24"/>
          <w:vertAlign w:val="superscript"/>
        </w:rPr>
        <w:t>-12</w:t>
      </w:r>
      <w:r>
        <w:rPr>
          <w:sz w:val="24"/>
          <w:szCs w:val="24"/>
        </w:rPr>
        <w:t>%. Единственной характерной чертой микроэлементов является их низкая концентрация в живых тканях (3).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Способы применения микроэлементов могут быть различными: некорневая подкормка в течение вегетации, предпосевная обработка семян путем опыления или увлажнения и внесения микроэлементов в почву. Самыми рациональными и экономически выгодными являются первые два приема. Путем применения этих двух приемов растения используют 40-100% всех микроэлементов, но пр внесение их в почву растения усваивают лишь несколько %, а в некоторых случаях даже десятые доли % от внесенного в почву микроэлемента. Внесение в почву легкорастворимых солей оказалось нецелесообразно (5).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Накопление микроэлементов в пищевых продуктах растительного происхождения происходит в зависимости от вида почвы, ее физических свойств и химического состояния, географического расположения района, климатических условий, от вида, сорта и стадии вегетации растений, применяемых удобрений, источников орошения и других факторов (38).</w:t>
      </w:r>
    </w:p>
    <w:p w:rsidR="00354BB4" w:rsidRDefault="00354BB4">
      <w:pPr>
        <w:ind w:firstLine="720"/>
        <w:rPr>
          <w:sz w:val="24"/>
          <w:szCs w:val="24"/>
        </w:rPr>
      </w:pPr>
    </w:p>
    <w:p w:rsidR="00354BB4" w:rsidRDefault="00354BB4">
      <w:pPr>
        <w:pStyle w:val="2"/>
        <w:rPr>
          <w:sz w:val="24"/>
          <w:szCs w:val="24"/>
        </w:rPr>
      </w:pPr>
      <w:r>
        <w:rPr>
          <w:sz w:val="24"/>
          <w:szCs w:val="24"/>
        </w:rPr>
        <w:t>Роль микроэлементов в обменных процессах у растений.</w:t>
      </w:r>
    </w:p>
    <w:p w:rsidR="00354BB4" w:rsidRDefault="00354BB4">
      <w:pPr>
        <w:ind w:firstLine="720"/>
        <w:jc w:val="center"/>
        <w:rPr>
          <w:b/>
          <w:bCs/>
          <w:sz w:val="24"/>
          <w:szCs w:val="24"/>
        </w:rPr>
      </w:pPr>
    </w:p>
    <w:p w:rsidR="00354BB4" w:rsidRDefault="00354BB4">
      <w:pPr>
        <w:pStyle w:val="21"/>
        <w:rPr>
          <w:sz w:val="24"/>
          <w:szCs w:val="24"/>
        </w:rPr>
      </w:pPr>
      <w:r>
        <w:rPr>
          <w:sz w:val="24"/>
          <w:szCs w:val="24"/>
        </w:rPr>
        <w:t>Изучение значения микроэлементов в обмене веществ растений необходимо для выявления новых возможностей управления их продуктивностью, поскольку микроэлементы могут выступать и как специфические и как неспецифические регуляторы обмена веществ.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Во многих жизненных процессах, происходящих в растениях на молекулярном уровне, микроэлементы принимают самое активное участие. Действуя через ферментную систему или непосредственно связываясь с биополимерами растений, микроэлементы могут стимулировать или ингибировать процессы роста, развития и репродуктивную функцию растений.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Составной частью общебиологической проблемы выяснение значения микроэлементов в отдельных звеньях обмена веществ является вопрос о взаимодействии микроэлементов с ДНК. Актуальность этого аспекта определяется действием ионов металлов во многих биологических процессах, происходящих с участием нуклеиновых кислот. Ионы металлов можно рассматривать как фактор, участвующий в создании необходимой для выполнения биологической функции конформации макромолекулы.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связывании цинка (11) молекулой ДНК участвует атом N1 гуанина и N7 аденина. При возрастании концентрации ионов металлов в полинуклеотидных тяжах возникают одиночные разрывы, которые являются централями деспирализации биополимера. Взаимодействие марганца (11) с фосфатными группами и с гуанином, структурирование гидратной оболочки обусловливает сложную зависимость параметров конформационных переходов от количества ионов металла (12).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Удаление молибдена из питательной среды вызывает понижение активности нитратредуктазы, совершенно отличное от понижения активности, вызванного удалением молибдена из интактного фермента, например диализом против цианида. В последнем случае активность инактивированного фермента может почти полностью восстанавливаться, добавляя металл к белку, тогда как в случае недостаточности молибдена добавление металла к бесклеточному экстракту не оказывает никакого действия (32).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Проведенные исследования дают основание заключить, что молибден оказывает ингибирующее действи на ДНК-азы и РНК-азы за счет образования комплексов молибдат-ионов с функциональными группами ДНК-азы и РНК-азы. Образование комплексов молибдат-ионов с ДНК и РНК, по-видимому, защищает фосфодиэфирные связи полинуклеотидов от атакуемости их гидролизирующими ферментами(12). Молибден такжевлияет на фосфорный обмен у растений, являясь ингибитором кислых фосфатид, в результате чего у высших растений недостаточность его влияет на 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Под влиянием бора в растениях увеличивается сумма флавинов за счет флавинадениндинуклеотида (ФАД), что свидетельствует о частичном превращени рибофлавина в флавиновые нуклеотиды, а также об усилении активности фавиновых ферментов, содержащих ФАД в качестве кофермента. Количество общего рибофлавина в листьях салата под влиянием бора увеличилось в 4 раза, прочно связанной с белком формы – в 3,8 раза, ФАДа – в 4 раза.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Была обнаружена положительная корреляция между активностью ферментной системы синтеза индолилуксусной кислоты и наличием в инкубационной среде цинка и индолилпировиноградной кислоты (12).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Показано, что содержание углеводов в тканях растений тесно связано с поступлением бора с питательными веществами. Листья растений с недостаточностью бора содержат обычно много сахаров и других углеводов, по-видимому, эти вещества по какой-то причине не переместились из листьев.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Гош и Даггер высказали предположение, что основная функция бора заключается в перемещении сахаров, которое осуществляется благодаря образованию углеводно-боратного комплекса, облегчающего прохождение сахара через мембрану. Авторы допускают, что либо углеводно-боратный комплекс может перемещаться из клетки в клетку, либо бор представляет собой компонент мембран, вступающий во временную связь с углеводом и осуществляющий таким образом его прохождение через мембрану. Авторы считают последний механизм действия бора более вероятным (37).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Марганец активирует обратное карбоксилирование ди- и трикарбоновых кислот, способствует восстановительному карбоксилированию пировиноградной кислоты в яблочную или щавелевую кислоту. Повышает активность фермента аргиназы, катализирующей превращение аргинина в орнитин, из которого синтезируется пирролидоновое кольцо тропановых алкалоидов. Он активирует фосфатглюкомутазу, энолазу, лецитиназу, аминопептидазу (11). Под влиянием марганца отмечено понижение содержания РНК в ядрах и увеличение в рибосомах. Отмечается также тенденция к повышению содержания ДНК под влиянием марганца. По-видимому, ДНК в данном случае слабее утилизируется (21).</w:t>
      </w:r>
    </w:p>
    <w:p w:rsidR="00354BB4" w:rsidRDefault="00354BB4">
      <w:pPr>
        <w:ind w:firstLine="720"/>
        <w:rPr>
          <w:sz w:val="24"/>
          <w:szCs w:val="24"/>
        </w:rPr>
      </w:pPr>
    </w:p>
    <w:p w:rsidR="00354BB4" w:rsidRDefault="00354BB4">
      <w:pPr>
        <w:ind w:firstLine="720"/>
        <w:rPr>
          <w:sz w:val="24"/>
          <w:szCs w:val="24"/>
        </w:rPr>
      </w:pPr>
    </w:p>
    <w:p w:rsidR="00354BB4" w:rsidRDefault="00354BB4">
      <w:pPr>
        <w:pStyle w:val="2"/>
        <w:rPr>
          <w:sz w:val="24"/>
          <w:szCs w:val="24"/>
        </w:rPr>
      </w:pPr>
      <w:r>
        <w:rPr>
          <w:sz w:val="24"/>
          <w:szCs w:val="24"/>
        </w:rPr>
        <w:t>Взаимосвязь микроэлементов и накопления в растениях биологически активных веществ.</w:t>
      </w:r>
    </w:p>
    <w:p w:rsidR="00354BB4" w:rsidRDefault="00354BB4">
      <w:pPr>
        <w:ind w:firstLine="720"/>
        <w:jc w:val="center"/>
        <w:rPr>
          <w:b/>
          <w:bCs/>
          <w:sz w:val="24"/>
          <w:szCs w:val="24"/>
        </w:rPr>
      </w:pP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дикорастущих лекарственных растений изучение влияние геохимических факторов на продуцирование растениями действующих веществ позволило разработать рекомендации по заготовке сырья именно в тех районах ареалов, где они отличаются высоким содержанием БАВ, а при возделывании лекарственных растений это создает предпосылки для направленного влияния на биогенез действующих веществ путем использования соответствующих микроудобрений.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Уже в 1955 г. Г. Бертранд отмечал, что наперстянки, выросшие на почве, богатой марганцем, отличаются повышенной биологической активностью. А проведенные исследования выявили, что представители рода наперстянки избирательно накапливают марганец, молибден и хром.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Введение марганца и молибдена вызывает стимуляцию активности фермента, ответственного за  синтез коэнзима А, что в свою очередь приведет к увеличению содержания сердечных гликозидов (18).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Лучшими дозами бора для мяты перечной являются 0,1-0,3 мг/кг почвы, в результате чего урожай листьев увеличивается на 11%, а содержание эфирных масел – на 0,24%. Дальнейшее увеличение бора в питательной смеси снижает урожай листьев, а содержание эфирных масел находится на прежнем уровне. Для цинка оптимальная доза – 2,2 и 8,8 мг/кг. Урожай мяты в этих вариантах повышается на 19%, дальнейшее увеличение доз цинка приводит к понижению веса листьев и повышению содержания эфирных масел на 0,5% (8).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Особую ценность для красавки представляет наличие микроэлементов – железа, марганца, кобальта, меди. Как и для других алкалоидоносных растений, для красавки характерно значительное накопление меди. Наиболее эффективным их микроэлементов является бор, вызывающий значительное увеличение содержания алкалоидов, затем следует молибден и марганец. Одновременно в обработанных растениях увеличивается и содержание микроэлементов. Установлено, что качественный состав алкалоидов в контрольных и обработанных микроэлементами растений на меняется (17).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подкормки черной смородины микроэлементами снижение концентрации аскорбиновой кислоты при созревании составило 10-20%. В результате этого при подкормке микроэлементами в зрелых ягодах сохраняется необычно большое содержание аскорбиновой кислоты, особенно в случае подкормки йодом (до 510 мг%), тогда как при отсутствии подкормки при созревании ягод содержание аскорбиновой кислоты снижается почти до обычных значений (255 мг%) (10).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Сочетание кобальта с фосфорно-калиевым удобрением повышает урожай люцерны на 288,4% по отношению к контролю, на 242,7% превосходя действие одного кобальта. Одновременно с ростом урожая шел усиленный синтез азотистых веществ, повысилось содержание протеина и белка (4).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Обработка координационными соединениями меди и кобальта приводила к ускорению наступления фаз развития, увеличилось число вполне сформировавшихся коробочек у хлопчатника. Отмечено повышение урожайности на 10-15%, крепости волокна и его зрелости, а также маслянистости семян (2). Под влиянием цинка происходит увеличение общей суммы углеводов в листьях и плодовых органах хлопчатника. Это увеличение происходит, с одной стороны, за счет моноз и сахарозы, с другой стороны, за счет гемицеллюлозы. Содержание крахмала при этом остается без изменений (26).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Применение марганца и бора существенно улучшает качество проса только в первый год действия за счет увеличения сырого белка в зернах. От внесения марганца количество сырого белка увеличивается на 0,8-1,8%, от бора – 0,1-0,3% (25).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Замачивание раствором сульфата меди (10 мг/л) семян озимой пшеницы с низким содержанием меди значительно повышает содержание свободного триптофана. Следует отметить, что обработка семян медью с относительно высоким естественным ее содержанием была значительно менее эффективной, а в ряде опытов наблюдалось угнетающее действие ее на продуктивность семян (13).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ранний период роста бор, молибден и цинк увеличивают содержание углеводов, особенно сахарозы в листьях кукурузы. Молибден значительно повышает содержание крахмала. Под влиянием марганца значительно увеличивается содержание ДНК и РНК (10).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Все микроэлементы (марганец, бор, молибден, цинк) повышают урожай шишек хмеля. Прибавка в среднем за два года составила 10-22%. Особенно эффективными оказались молибден и цинк (21-22%). Марганец способствует большему накоплению глютатиона и восстановительной формы аскорбиновой кислоты, также благоприятствует большему накоплению горьких веществ в шишках хмеля, главным образом за счет наиболее ценных компонентов этого комплекса (31). Повышение горьких веществ в шишках вызывают и молибден с бором (повышается на 3,3-3,4%) (24).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результате анализов выяснилось, что бор, медь и молибден способствует накоплению в корнеплодах моркови каротина, сахаров и минеральных веществ. Так, под влиянием бора содержание каротина в корнеплодах (в зависимости от почвенных и климатических условий) повышается от 0,6 до 2,1 мг%, а количество сахара увеличивается до 0,8%. Причем увеличение шло за счет сахарозы (20).</w:t>
      </w:r>
    </w:p>
    <w:p w:rsidR="00354BB4" w:rsidRDefault="00354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Таким образом установлена взаимосвязь между содержанием в почве отдельных химических элементов и продуцированием растениями отдельных групп биологически активных веществ (БАВ). Растения, продуцирующие сердечные гликозиды, избирательно поглощают марганец, молибден, хром; продуцирующие алкалоиды – медь, марганец, кобальт; сапонины – молибден, ванадий; терпеноды – марганец; кумарины, флавоноиды и антраценпроизводные – медь; витамины – марганец, медь; полисахариды – марганец, хром (18).</w:t>
      </w:r>
    </w:p>
    <w:p w:rsidR="00354BB4" w:rsidRDefault="00354BB4">
      <w:pPr>
        <w:ind w:firstLine="720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Литература:</w:t>
      </w:r>
    </w:p>
    <w:p w:rsidR="00354BB4" w:rsidRDefault="00354BB4">
      <w:pPr>
        <w:ind w:firstLine="720"/>
        <w:rPr>
          <w:sz w:val="24"/>
          <w:szCs w:val="24"/>
        </w:rPr>
      </w:pPr>
    </w:p>
    <w:p w:rsidR="00354BB4" w:rsidRDefault="00354BB4">
      <w:pPr>
        <w:rPr>
          <w:sz w:val="24"/>
          <w:szCs w:val="24"/>
        </w:rPr>
      </w:pP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Д.Т. Абдурахимов, З.А. Ашенов, Т.Э. Астанакулов, Э.П. Узаков «Микроэлементы и  продуктивность картофеля»// кн «Микроэлементы в биологии и их применение в сельском хозяйстве и медицине», Самарканд, 1990г.- с 108-109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А.А. Абзалов, Р.И. Хасанов, Т.П. Пирохунов «Значение координационных соединений микроэлеменов в питании хлопчатника» // кн «Микроэлементы в биологии и их применение в сельском хозяйстве и медицине», Самарканд, 1990г.- с 109-110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А.П. Авцын, А.А. Живоронков, М.А. Реми, Л.С. Строчкова «Микроэлементозы человека», М.: Медицина, 1991г.- 496с.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Н.М. Андреева «Влияние микроэлементов на азотистый обмен и развитие люпина» // кн «Микроэлементы в сельском хозяйстве и медицине», Киев: Государственное издательство сельскохозяйственной литературы Укр ССР, 1963г.- 690с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П.И. Анспок «Совершенствование способов применения микроэлементов в растеневодстве» // кн «Микроэлементы в биологии и их применение в сельском хозяйстве и медицине», Самарканд, 1990г.- с 115-116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Ш.Х. Балтабаев «Влияние микроэлементов на качество семян хлопчатника и урожай его потомства» // кн «Микроэлементы в биологии и их применение в сельском хозяйстве и медицине», Самарканд, 1990г.- с 122-124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«Биологическая роль микроэлементов», М.: Наука, 1983г.- 238с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Э.С. Бойченко «Влияние микроудобрений на урожай и качество мяты перечной» // кн «Микроэлементы в сельском хозяйстве и медицине», Киев: Наукова думка, 1968г.- 220с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П.Н. Вардья «Роль меди в обмене веществ ячменя» // кн "Микроэлементы в сельском хозяйстве и медицине", Киев: Государственное издательство сельскохозяйственной литературы Укр ССР, 1963г.- 690с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К.Л. Визир, З.М. Климовицкая «действие марганца на рост и развитие растений на различных этапах их онтогенеза» // кн "Микроэлементы в жизни растений, животных и человека", Киев: Наукова думка, 1964г.- 324с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П.А. Власюк «Научные исследования и задачи по проблеме «Биологическая роль микроэлементов в жизни растений, животных и человека» // кн "Микроэлементы в жизни растений, животных и человека", Киев: Наукова думка, 1964г.- 324с</w:t>
      </w:r>
    </w:p>
    <w:p w:rsidR="00354BB4" w:rsidRDefault="00354BB4">
      <w:pPr>
        <w:rPr>
          <w:sz w:val="24"/>
          <w:szCs w:val="24"/>
        </w:rPr>
      </w:pP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П.А. Власюк, В.А. Жидков, В.И. Ивченко, З.М. Климовицкая, М.Ф. Охрименко, Э.В. Руданова, Т.Н. Сидоршина «Участие микроэлементов в обмене веществ растений»// кн «Биологическая роль микроэлементов», М.: Наука, 1983г.- 38с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М.С. Гамаюнова «Обогащение семян медью и связь ее с динамикой свободного троптофана при их прорастании» // кн "Микроэлементы в сельском хозяйстве и медицине", Киев: Наукова думка, 1966г.- с 97-107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Гигиена внешней среды, Ростов-на-Дону, 1977г.- 22с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М.Б. Гилис, Н.П. Радченко «Влияние микроэлементов на рост, развитие и некоторые биохимические особенности кукурузы и сахарной свеклы в условиях Западной лесостепи Украины» // кн "Микроэлементы в сельском хозяйстве и медицине", Киев: Наукова думка, 1968г.- 220с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О.И. Голяницкий, Р.Н. Туманова «Влияние микроэлементов на содержание аскорбиновой кислоты и катехинов в черной смородине»// кн «Микроэлементы и их применение», Оренбург, 1972г.- 114с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Н.И. Гринкевич, Л.И. Боровкова, И.Ф. Грибовская «Влияние микроэлементов на содержание алкалоидов в красавке»// журн Фармация, 1970.- №5.- с 41-47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Н.И. Гринкевич, А.А. Сорокина «Роль геохимических факторов среды в продуцировании растениями биологически активных веществ»//кн «Биологическая роль микроэлементов», М.: Наука, 1983г.- 238с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П.В. Иванов «Закономерности накопления олова растениями Дальнего востока» // кн "Микроэлементы в биологии и их применение в сельском хозяйстве и медицине", Самарканд, 1990г.- с 33-34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Н.Р. Кисис «Влияние бора, меди и молибдена на некоторые овощные культуры в условиях Латвийской ССР"// кн "Микроэлементы в сельском хозяйстве и медицине", Киев: Государственное издательство сельскохозяйственной литературы Укр ССР, 1963г.- 690с</w:t>
      </w:r>
    </w:p>
    <w:p w:rsidR="00354BB4" w:rsidRDefault="00354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З.М. Климовицкая, М.И. Ковальчук «Нуклеиновый обмен растений в связи с особенностями питания их некоторыми макро- и микроэлементами» // кн "Микроэлементы в сельском хозяйстве и медицине", Киев: Наукова думка, 1966г.- с 60-72</w:t>
      </w:r>
    </w:p>
    <w:p w:rsidR="00354BB4" w:rsidRDefault="00354BB4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З.М. Климовицкая, З.И. Любанова, Л.М. Прокопивнюк «Биосинтез РНК, ДНК и белка в зависимости от условий фосфорного и марганцевого питания» // кн "Микроэлементы в сельском хозяйстве и медицине", Киев: Наукова думка, 1968г.- 220с</w:t>
      </w:r>
      <w:bookmarkStart w:id="0" w:name="_GoBack"/>
      <w:bookmarkEnd w:id="0"/>
    </w:p>
    <w:sectPr w:rsidR="00354BB4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4840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EE"/>
    <w:rsid w:val="00354BB4"/>
    <w:rsid w:val="007705A0"/>
    <w:rsid w:val="007D6BEE"/>
    <w:rsid w:val="00C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05CB72C-5DA8-45B0-9D6E-F80EB9E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="720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44"/>
      <w:szCs w:val="44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9813</Words>
  <Characters>5594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Микроэлементы – это группа химических элементов, которые содержатся в организме человека и животных в очень малых коли-чествах, в пределах 10-3-10-12%</vt:lpstr>
    </vt:vector>
  </TitlesOfParts>
  <Company> </Company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Микроэлементы – это группа химических элементов, которые содержатся в организме человека и животных в очень малых коли-чествах, в пределах 10-3-10-12%</dc:title>
  <dc:subject/>
  <dc:creator>Виктор</dc:creator>
  <cp:keywords/>
  <dc:description/>
  <cp:lastModifiedBy>admin</cp:lastModifiedBy>
  <cp:revision>2</cp:revision>
  <dcterms:created xsi:type="dcterms:W3CDTF">2014-01-27T16:07:00Z</dcterms:created>
  <dcterms:modified xsi:type="dcterms:W3CDTF">2014-01-27T16:07:00Z</dcterms:modified>
</cp:coreProperties>
</file>