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9E3" w:rsidRDefault="001557C4">
      <w:pPr>
        <w:pStyle w:val="a8"/>
        <w:keepNext w:val="0"/>
        <w:keepLines w:val="0"/>
        <w:spacing w:after="0"/>
        <w:rPr>
          <w:caps/>
          <w:sz w:val="24"/>
          <w:szCs w:val="24"/>
        </w:rPr>
      </w:pPr>
      <w:r>
        <w:rPr>
          <w:caps/>
          <w:sz w:val="24"/>
          <w:szCs w:val="24"/>
        </w:rPr>
        <w:t>Государственный комитет РФ по высшему образованию</w:t>
      </w:r>
    </w:p>
    <w:p w:rsidR="00EF59E3" w:rsidRDefault="00EF59E3">
      <w:pPr>
        <w:jc w:val="center"/>
        <w:rPr>
          <w:caps/>
        </w:rPr>
      </w:pPr>
    </w:p>
    <w:p w:rsidR="00EF59E3" w:rsidRDefault="001557C4">
      <w:pPr>
        <w:pStyle w:val="a8"/>
        <w:keepLines w:val="0"/>
        <w:spacing w:after="0" w:line="240" w:lineRule="auto"/>
        <w:rPr>
          <w:caps/>
          <w:sz w:val="24"/>
          <w:szCs w:val="24"/>
        </w:rPr>
      </w:pPr>
      <w:r>
        <w:rPr>
          <w:caps/>
          <w:sz w:val="24"/>
          <w:szCs w:val="24"/>
        </w:rPr>
        <w:t>Курский гуманитарно-технический институт</w:t>
      </w:r>
    </w:p>
    <w:p w:rsidR="00EF59E3" w:rsidRDefault="00EF59E3">
      <w:pPr>
        <w:jc w:val="center"/>
      </w:pPr>
    </w:p>
    <w:p w:rsidR="00EF59E3" w:rsidRDefault="001557C4">
      <w:pPr>
        <w:jc w:val="center"/>
      </w:pPr>
      <w:r>
        <w:t>Кафедра "Бухгалтерского учета"</w:t>
      </w: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rPr>
          <w:lang w:val="en-US"/>
        </w:rPr>
      </w:pPr>
    </w:p>
    <w:p w:rsidR="00EF59E3" w:rsidRDefault="00EF59E3">
      <w:pPr>
        <w:jc w:val="center"/>
        <w:rPr>
          <w:lang w:val="en-US"/>
        </w:rPr>
      </w:pPr>
    </w:p>
    <w:p w:rsidR="00EF59E3" w:rsidRDefault="00EF59E3">
      <w:pPr>
        <w:jc w:val="center"/>
        <w:rPr>
          <w:lang w:val="en-US"/>
        </w:rPr>
      </w:pPr>
    </w:p>
    <w:p w:rsidR="00EF59E3" w:rsidRDefault="00EF59E3">
      <w:pPr>
        <w:jc w:val="center"/>
        <w:rPr>
          <w:lang w:val="en-US"/>
        </w:rPr>
      </w:pPr>
    </w:p>
    <w:p w:rsidR="00EF59E3" w:rsidRDefault="001557C4">
      <w:pPr>
        <w:pStyle w:val="5"/>
        <w:ind w:firstLine="0"/>
        <w:jc w:val="center"/>
        <w:rPr>
          <w:rFonts w:ascii="Times New Roman" w:hAnsi="Times New Roman" w:cs="Times New Roman"/>
          <w:caps/>
          <w:sz w:val="24"/>
          <w:szCs w:val="24"/>
        </w:rPr>
      </w:pPr>
      <w:r>
        <w:rPr>
          <w:rFonts w:ascii="Times New Roman" w:hAnsi="Times New Roman" w:cs="Times New Roman"/>
          <w:caps/>
          <w:sz w:val="24"/>
          <w:szCs w:val="24"/>
        </w:rPr>
        <w:t>контрольная работа</w:t>
      </w:r>
    </w:p>
    <w:p w:rsidR="00EF59E3" w:rsidRDefault="00EF59E3">
      <w:pPr>
        <w:jc w:val="center"/>
      </w:pPr>
    </w:p>
    <w:p w:rsidR="00EF59E3" w:rsidRDefault="001557C4">
      <w:pPr>
        <w:jc w:val="center"/>
      </w:pPr>
      <w:r>
        <w:rPr>
          <w:i/>
          <w:iCs/>
        </w:rPr>
        <w:t>по дисциплине</w:t>
      </w:r>
    </w:p>
    <w:p w:rsidR="00EF59E3" w:rsidRDefault="001557C4">
      <w:pPr>
        <w:pStyle w:val="a8"/>
        <w:keepLines w:val="0"/>
        <w:spacing w:after="0" w:line="240" w:lineRule="auto"/>
        <w:rPr>
          <w:caps/>
          <w:sz w:val="24"/>
          <w:szCs w:val="24"/>
        </w:rPr>
      </w:pPr>
      <w:r>
        <w:rPr>
          <w:caps/>
          <w:sz w:val="24"/>
          <w:szCs w:val="24"/>
        </w:rPr>
        <w:t>"</w:t>
      </w:r>
      <w:r>
        <w:rPr>
          <w:b/>
          <w:bCs/>
          <w:caps/>
          <w:sz w:val="28"/>
          <w:szCs w:val="28"/>
        </w:rPr>
        <w:t>налоги  и  налогообложение</w:t>
      </w:r>
      <w:r>
        <w:rPr>
          <w:caps/>
          <w:sz w:val="24"/>
          <w:szCs w:val="24"/>
        </w:rPr>
        <w:t>"</w:t>
      </w: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pPr>
    </w:p>
    <w:tbl>
      <w:tblPr>
        <w:tblW w:w="0" w:type="auto"/>
        <w:tblInd w:w="-108" w:type="dxa"/>
        <w:tblLayout w:type="fixed"/>
        <w:tblLook w:val="0000" w:firstRow="0" w:lastRow="0" w:firstColumn="0" w:lastColumn="0" w:noHBand="0" w:noVBand="0"/>
      </w:tblPr>
      <w:tblGrid>
        <w:gridCol w:w="2235"/>
        <w:gridCol w:w="4536"/>
        <w:gridCol w:w="2835"/>
      </w:tblGrid>
      <w:tr w:rsidR="00EF59E3">
        <w:tc>
          <w:tcPr>
            <w:tcW w:w="2235" w:type="dxa"/>
            <w:tcBorders>
              <w:top w:val="nil"/>
              <w:left w:val="nil"/>
              <w:bottom w:val="nil"/>
              <w:right w:val="nil"/>
            </w:tcBorders>
          </w:tcPr>
          <w:p w:rsidR="00EF59E3" w:rsidRDefault="001557C4">
            <w:pPr>
              <w:jc w:val="center"/>
            </w:pPr>
            <w:r>
              <w:t>ВЫПОЛНИЛ:</w:t>
            </w:r>
          </w:p>
        </w:tc>
        <w:tc>
          <w:tcPr>
            <w:tcW w:w="4536" w:type="dxa"/>
            <w:tcBorders>
              <w:top w:val="nil"/>
              <w:left w:val="nil"/>
              <w:bottom w:val="nil"/>
              <w:right w:val="nil"/>
            </w:tcBorders>
          </w:tcPr>
          <w:p w:rsidR="00EF59E3" w:rsidRDefault="001557C4">
            <w:pPr>
              <w:rPr>
                <w:i/>
                <w:iCs/>
              </w:rPr>
            </w:pPr>
            <w:r>
              <w:rPr>
                <w:i/>
                <w:iCs/>
              </w:rPr>
              <w:t>Студент экономического</w:t>
            </w:r>
          </w:p>
          <w:p w:rsidR="00EF59E3" w:rsidRDefault="001557C4">
            <w:pPr>
              <w:rPr>
                <w:i/>
                <w:iCs/>
              </w:rPr>
            </w:pPr>
            <w:r>
              <w:rPr>
                <w:i/>
                <w:iCs/>
              </w:rPr>
              <w:t>факультета, гр.</w:t>
            </w:r>
            <w:r>
              <w:rPr>
                <w:i/>
                <w:iCs/>
                <w:caps/>
              </w:rPr>
              <w:t>бу</w:t>
            </w:r>
            <w:r>
              <w:rPr>
                <w:i/>
                <w:iCs/>
              </w:rPr>
              <w:t>-91/2</w:t>
            </w:r>
          </w:p>
        </w:tc>
        <w:tc>
          <w:tcPr>
            <w:tcW w:w="2835" w:type="dxa"/>
            <w:tcBorders>
              <w:top w:val="nil"/>
              <w:left w:val="nil"/>
              <w:bottom w:val="nil"/>
              <w:right w:val="nil"/>
            </w:tcBorders>
          </w:tcPr>
          <w:p w:rsidR="00EF59E3" w:rsidRDefault="00EF59E3">
            <w:pPr>
              <w:jc w:val="right"/>
            </w:pPr>
          </w:p>
          <w:p w:rsidR="00EF59E3" w:rsidRDefault="001557C4">
            <w:pPr>
              <w:jc w:val="right"/>
            </w:pPr>
            <w:r>
              <w:t>В.А.ВОЛОБУЕВ</w:t>
            </w:r>
          </w:p>
        </w:tc>
      </w:tr>
      <w:tr w:rsidR="00EF59E3">
        <w:tc>
          <w:tcPr>
            <w:tcW w:w="2235" w:type="dxa"/>
            <w:tcBorders>
              <w:top w:val="nil"/>
              <w:left w:val="nil"/>
              <w:bottom w:val="nil"/>
              <w:right w:val="nil"/>
            </w:tcBorders>
          </w:tcPr>
          <w:p w:rsidR="00EF59E3" w:rsidRDefault="00EF59E3">
            <w:pPr>
              <w:jc w:val="center"/>
            </w:pPr>
          </w:p>
        </w:tc>
        <w:tc>
          <w:tcPr>
            <w:tcW w:w="4536" w:type="dxa"/>
            <w:tcBorders>
              <w:top w:val="nil"/>
              <w:left w:val="nil"/>
              <w:bottom w:val="nil"/>
              <w:right w:val="nil"/>
            </w:tcBorders>
          </w:tcPr>
          <w:p w:rsidR="00EF59E3" w:rsidRDefault="00EF59E3">
            <w:pPr>
              <w:rPr>
                <w:i/>
                <w:iCs/>
              </w:rPr>
            </w:pPr>
          </w:p>
          <w:p w:rsidR="00EF59E3" w:rsidRDefault="00EF59E3">
            <w:pPr>
              <w:rPr>
                <w:i/>
                <w:iCs/>
              </w:rPr>
            </w:pPr>
          </w:p>
        </w:tc>
        <w:tc>
          <w:tcPr>
            <w:tcW w:w="2835" w:type="dxa"/>
            <w:tcBorders>
              <w:top w:val="nil"/>
              <w:left w:val="nil"/>
              <w:bottom w:val="nil"/>
              <w:right w:val="nil"/>
            </w:tcBorders>
          </w:tcPr>
          <w:p w:rsidR="00EF59E3" w:rsidRDefault="00EF59E3">
            <w:pPr>
              <w:jc w:val="right"/>
            </w:pPr>
          </w:p>
        </w:tc>
      </w:tr>
      <w:tr w:rsidR="00EF59E3">
        <w:tc>
          <w:tcPr>
            <w:tcW w:w="2235" w:type="dxa"/>
            <w:tcBorders>
              <w:top w:val="nil"/>
              <w:left w:val="nil"/>
              <w:bottom w:val="nil"/>
              <w:right w:val="nil"/>
            </w:tcBorders>
          </w:tcPr>
          <w:p w:rsidR="00EF59E3" w:rsidRDefault="001557C4">
            <w:pPr>
              <w:jc w:val="center"/>
              <w:rPr>
                <w:caps/>
              </w:rPr>
            </w:pPr>
            <w:r>
              <w:rPr>
                <w:caps/>
              </w:rPr>
              <w:t>проверил:</w:t>
            </w:r>
          </w:p>
        </w:tc>
        <w:tc>
          <w:tcPr>
            <w:tcW w:w="4536" w:type="dxa"/>
            <w:tcBorders>
              <w:top w:val="nil"/>
              <w:left w:val="nil"/>
              <w:bottom w:val="nil"/>
              <w:right w:val="nil"/>
            </w:tcBorders>
          </w:tcPr>
          <w:p w:rsidR="00EF59E3" w:rsidRDefault="001557C4">
            <w:pPr>
              <w:rPr>
                <w:i/>
                <w:iCs/>
              </w:rPr>
            </w:pPr>
            <w:r>
              <w:rPr>
                <w:i/>
                <w:iCs/>
              </w:rPr>
              <w:t>Преподаватель</w:t>
            </w:r>
          </w:p>
        </w:tc>
        <w:tc>
          <w:tcPr>
            <w:tcW w:w="2835" w:type="dxa"/>
            <w:tcBorders>
              <w:top w:val="nil"/>
              <w:left w:val="nil"/>
              <w:bottom w:val="nil"/>
              <w:right w:val="nil"/>
            </w:tcBorders>
          </w:tcPr>
          <w:p w:rsidR="00EF59E3" w:rsidRDefault="001557C4">
            <w:pPr>
              <w:jc w:val="right"/>
              <w:rPr>
                <w:caps/>
              </w:rPr>
            </w:pPr>
            <w:r>
              <w:rPr>
                <w:caps/>
              </w:rPr>
              <w:t>л.в.венделева</w:t>
            </w:r>
          </w:p>
        </w:tc>
      </w:tr>
    </w:tbl>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pPr>
    </w:p>
    <w:p w:rsidR="00EF59E3" w:rsidRDefault="00EF59E3">
      <w:pPr>
        <w:jc w:val="center"/>
        <w:rPr>
          <w:lang w:val="en-US"/>
        </w:rPr>
      </w:pPr>
    </w:p>
    <w:p w:rsidR="00EF59E3" w:rsidRDefault="00EF59E3">
      <w:pPr>
        <w:jc w:val="center"/>
        <w:rPr>
          <w:lang w:val="en-US"/>
        </w:rPr>
      </w:pPr>
    </w:p>
    <w:p w:rsidR="00EF59E3" w:rsidRDefault="00EF59E3">
      <w:pPr>
        <w:jc w:val="center"/>
        <w:rPr>
          <w:lang w:val="en-US"/>
        </w:rPr>
      </w:pPr>
    </w:p>
    <w:p w:rsidR="00EF59E3" w:rsidRDefault="00EF59E3">
      <w:pPr>
        <w:jc w:val="center"/>
        <w:rPr>
          <w:lang w:val="en-US"/>
        </w:rPr>
      </w:pPr>
    </w:p>
    <w:p w:rsidR="00EF59E3" w:rsidRDefault="00EF59E3">
      <w:pPr>
        <w:jc w:val="center"/>
        <w:rPr>
          <w:lang w:val="en-US"/>
        </w:rPr>
      </w:pPr>
    </w:p>
    <w:p w:rsidR="00EF59E3" w:rsidRDefault="00EF59E3">
      <w:pPr>
        <w:jc w:val="center"/>
      </w:pPr>
    </w:p>
    <w:p w:rsidR="00EF59E3" w:rsidRDefault="00EF59E3">
      <w:pPr>
        <w:jc w:val="center"/>
      </w:pPr>
    </w:p>
    <w:p w:rsidR="00EF59E3" w:rsidRDefault="00EF59E3">
      <w:pPr>
        <w:jc w:val="center"/>
      </w:pPr>
    </w:p>
    <w:p w:rsidR="00EF59E3" w:rsidRDefault="001557C4">
      <w:pPr>
        <w:pStyle w:val="a6"/>
        <w:jc w:val="center"/>
        <w:rPr>
          <w:b w:val="0"/>
          <w:bCs w:val="0"/>
          <w:caps/>
          <w:sz w:val="24"/>
          <w:szCs w:val="24"/>
        </w:rPr>
      </w:pPr>
      <w:r>
        <w:rPr>
          <w:b w:val="0"/>
          <w:bCs w:val="0"/>
          <w:caps/>
          <w:sz w:val="24"/>
          <w:szCs w:val="24"/>
        </w:rPr>
        <w:t>Курск 2000</w:t>
      </w:r>
    </w:p>
    <w:p w:rsidR="00EF59E3" w:rsidRDefault="00EF59E3">
      <w:pPr>
        <w:pStyle w:val="a6"/>
        <w:jc w:val="center"/>
        <w:rPr>
          <w:b w:val="0"/>
          <w:bCs w:val="0"/>
          <w:caps/>
          <w:sz w:val="24"/>
          <w:szCs w:val="24"/>
        </w:rPr>
      </w:pPr>
    </w:p>
    <w:p w:rsidR="00EF59E3" w:rsidRDefault="00EF59E3">
      <w:pPr>
        <w:pStyle w:val="a6"/>
        <w:jc w:val="center"/>
        <w:rPr>
          <w:b w:val="0"/>
          <w:bCs w:val="0"/>
          <w:caps/>
          <w:sz w:val="24"/>
          <w:szCs w:val="24"/>
        </w:rPr>
        <w:sectPr w:rsidR="00EF59E3">
          <w:headerReference w:type="default" r:id="rId7"/>
          <w:type w:val="nextColumn"/>
          <w:pgSz w:w="11907" w:h="16840" w:code="9"/>
          <w:pgMar w:top="1134" w:right="1134" w:bottom="1134" w:left="1134" w:header="0" w:footer="0" w:gutter="0"/>
          <w:pgNumType w:start="2"/>
          <w:cols w:space="720"/>
        </w:sectPr>
      </w:pPr>
    </w:p>
    <w:p w:rsidR="00EF59E3" w:rsidRDefault="001557C4">
      <w:pPr>
        <w:pStyle w:val="2"/>
        <w:ind w:firstLine="0"/>
        <w:rPr>
          <w:b/>
          <w:bCs/>
          <w:u w:val="none"/>
        </w:rPr>
      </w:pPr>
      <w:r>
        <w:rPr>
          <w:b/>
          <w:bCs/>
        </w:rPr>
        <w:t>ВОПРОС 1</w:t>
      </w:r>
      <w:r>
        <w:rPr>
          <w:b/>
          <w:bCs/>
          <w:u w:val="none"/>
        </w:rPr>
        <w:t xml:space="preserve">: </w:t>
      </w:r>
      <w:r>
        <w:rPr>
          <w:b/>
          <w:bCs/>
          <w:i/>
          <w:iCs/>
          <w:u w:val="none"/>
        </w:rPr>
        <w:t>Налогообложение банков и страховых компаний. Особенности исчисления налогооблагаемой базы.</w:t>
      </w:r>
    </w:p>
    <w:p w:rsidR="00EF59E3" w:rsidRDefault="00EF59E3">
      <w:pPr>
        <w:pStyle w:val="2"/>
      </w:pPr>
    </w:p>
    <w:p w:rsidR="00EF59E3" w:rsidRDefault="001557C4">
      <w:pPr>
        <w:pStyle w:val="2"/>
      </w:pPr>
      <w:r>
        <w:t>Плательщиками налога на доход в соответствии с Законом РФ "О налогообложении доходов банков" являются:</w:t>
      </w:r>
    </w:p>
    <w:p w:rsidR="00EF59E3" w:rsidRDefault="001557C4">
      <w:pPr>
        <w:numPr>
          <w:ilvl w:val="0"/>
          <w:numId w:val="3"/>
        </w:numPr>
        <w:tabs>
          <w:tab w:val="clear" w:pos="360"/>
          <w:tab w:val="num" w:pos="720"/>
        </w:tabs>
        <w:ind w:left="720"/>
        <w:jc w:val="both"/>
        <w:outlineLvl w:val="0"/>
      </w:pPr>
      <w:r>
        <w:t>коммерческие банки;</w:t>
      </w:r>
    </w:p>
    <w:p w:rsidR="00EF59E3" w:rsidRDefault="001557C4">
      <w:pPr>
        <w:numPr>
          <w:ilvl w:val="0"/>
          <w:numId w:val="3"/>
        </w:numPr>
        <w:tabs>
          <w:tab w:val="clear" w:pos="360"/>
          <w:tab w:val="num" w:pos="720"/>
        </w:tabs>
        <w:ind w:left="720"/>
        <w:jc w:val="both"/>
        <w:outlineLvl w:val="0"/>
      </w:pPr>
      <w:r>
        <w:t>кредитные учреждения,  получившие  лицензию  Центрального банка</w:t>
      </w:r>
    </w:p>
    <w:p w:rsidR="00EF59E3" w:rsidRDefault="001557C4">
      <w:pPr>
        <w:numPr>
          <w:ilvl w:val="0"/>
          <w:numId w:val="3"/>
        </w:numPr>
        <w:tabs>
          <w:tab w:val="clear" w:pos="360"/>
          <w:tab w:val="num" w:pos="720"/>
        </w:tabs>
        <w:ind w:left="720"/>
        <w:jc w:val="both"/>
        <w:outlineLvl w:val="0"/>
      </w:pPr>
      <w:r>
        <w:t>Российской Федерации на осуществление отдельных банковских  операций;</w:t>
      </w:r>
    </w:p>
    <w:p w:rsidR="00EF59E3" w:rsidRDefault="001557C4">
      <w:pPr>
        <w:numPr>
          <w:ilvl w:val="0"/>
          <w:numId w:val="3"/>
        </w:numPr>
        <w:tabs>
          <w:tab w:val="clear" w:pos="360"/>
          <w:tab w:val="num" w:pos="720"/>
        </w:tabs>
        <w:ind w:left="720"/>
        <w:jc w:val="both"/>
        <w:outlineLvl w:val="0"/>
      </w:pPr>
      <w:r>
        <w:t>Банк внешней торговли Российской Федерации;</w:t>
      </w:r>
    </w:p>
    <w:p w:rsidR="00EF59E3" w:rsidRDefault="001557C4">
      <w:pPr>
        <w:numPr>
          <w:ilvl w:val="0"/>
          <w:numId w:val="3"/>
        </w:numPr>
        <w:tabs>
          <w:tab w:val="clear" w:pos="360"/>
          <w:tab w:val="num" w:pos="720"/>
        </w:tabs>
        <w:ind w:left="720"/>
        <w:jc w:val="both"/>
        <w:outlineLvl w:val="0"/>
      </w:pPr>
      <w:r>
        <w:t>Сберегательный банк Российской Федерации;</w:t>
      </w:r>
    </w:p>
    <w:p w:rsidR="00EF59E3" w:rsidRDefault="001557C4">
      <w:pPr>
        <w:numPr>
          <w:ilvl w:val="0"/>
          <w:numId w:val="3"/>
        </w:numPr>
        <w:tabs>
          <w:tab w:val="clear" w:pos="360"/>
          <w:tab w:val="num" w:pos="720"/>
        </w:tabs>
        <w:ind w:left="720"/>
        <w:jc w:val="both"/>
        <w:outlineLvl w:val="0"/>
      </w:pPr>
      <w:r>
        <w:t>специальные банки  (банки  развития),  созданные в порядке и на условиях, предусмотренных соответствующими законодательными актами Российской  Федерации для финансирования отдельных целевых республиканских (Российской Федерации), региональных и иных программ;</w:t>
      </w:r>
    </w:p>
    <w:p w:rsidR="00EF59E3" w:rsidRDefault="001557C4">
      <w:pPr>
        <w:numPr>
          <w:ilvl w:val="0"/>
          <w:numId w:val="3"/>
        </w:numPr>
        <w:tabs>
          <w:tab w:val="clear" w:pos="360"/>
          <w:tab w:val="num" w:pos="720"/>
        </w:tabs>
        <w:ind w:left="720"/>
        <w:jc w:val="both"/>
        <w:outlineLvl w:val="0"/>
      </w:pPr>
      <w:r>
        <w:t>банки с участием иностранного капитала, иностранные банки и филиалы  банков-нерезидентов, получившие лицензию Центрального банка Российской Федерации;</w:t>
      </w:r>
    </w:p>
    <w:p w:rsidR="00EF59E3" w:rsidRDefault="001557C4">
      <w:pPr>
        <w:numPr>
          <w:ilvl w:val="0"/>
          <w:numId w:val="3"/>
        </w:numPr>
        <w:tabs>
          <w:tab w:val="clear" w:pos="360"/>
          <w:tab w:val="num" w:pos="720"/>
        </w:tabs>
        <w:ind w:left="720"/>
        <w:jc w:val="both"/>
        <w:outlineLvl w:val="0"/>
      </w:pPr>
      <w:r>
        <w:t>Центральный банк Российской Федерации и его учреждения не являются плательщиками налога.</w:t>
      </w:r>
    </w:p>
    <w:p w:rsidR="00EF59E3" w:rsidRDefault="00EF59E3">
      <w:pPr>
        <w:ind w:firstLine="720"/>
        <w:jc w:val="both"/>
      </w:pPr>
    </w:p>
    <w:p w:rsidR="00EF59E3" w:rsidRDefault="001557C4">
      <w:pPr>
        <w:ind w:firstLine="720"/>
        <w:jc w:val="both"/>
        <w:rPr>
          <w:u w:val="single"/>
        </w:rPr>
      </w:pPr>
      <w:r>
        <w:rPr>
          <w:u w:val="single"/>
        </w:rPr>
        <w:t>Объект налогообложения:</w:t>
      </w:r>
    </w:p>
    <w:p w:rsidR="00EF59E3" w:rsidRDefault="001557C4">
      <w:pPr>
        <w:ind w:firstLine="720"/>
        <w:jc w:val="both"/>
      </w:pPr>
      <w:r>
        <w:t>1. Объектом  налогообложения в соответствии с Законом являются доходы банка без учета полученного в установленном порядке налога на добавленную стоимость, включая:</w:t>
      </w:r>
    </w:p>
    <w:p w:rsidR="00EF59E3" w:rsidRDefault="001557C4">
      <w:pPr>
        <w:ind w:firstLine="720"/>
        <w:jc w:val="both"/>
      </w:pPr>
      <w:r>
        <w:t>а) начисленные и полученные проценты по ссудам;</w:t>
      </w:r>
    </w:p>
    <w:p w:rsidR="00EF59E3" w:rsidRDefault="001557C4">
      <w:pPr>
        <w:ind w:firstLine="720"/>
        <w:jc w:val="both"/>
      </w:pPr>
      <w:r>
        <w:t>б) полученную плату за кредитные ресурсы;</w:t>
      </w:r>
    </w:p>
    <w:p w:rsidR="00EF59E3" w:rsidRDefault="001557C4">
      <w:pPr>
        <w:ind w:firstLine="720"/>
        <w:jc w:val="both"/>
      </w:pPr>
      <w:r>
        <w:t>в) комиссионные и иные сборы по аккредитивным,  инкассовым, переводным и другим банковским операциям;</w:t>
      </w:r>
    </w:p>
    <w:p w:rsidR="00EF59E3" w:rsidRDefault="001557C4">
      <w:pPr>
        <w:ind w:firstLine="720"/>
        <w:jc w:val="both"/>
      </w:pPr>
      <w:r>
        <w:t>г) комиссионные и иные сборы по гарантийным операциям;</w:t>
      </w:r>
    </w:p>
    <w:p w:rsidR="00EF59E3" w:rsidRDefault="001557C4">
      <w:pPr>
        <w:ind w:firstLine="720"/>
        <w:jc w:val="both"/>
      </w:pPr>
      <w:r>
        <w:t>д) комиссионные и иные сборы за услуги по корреспондентским отношениям и услуги,  оказанные предприятиям, организациям, банкам и другим учреждениям;</w:t>
      </w:r>
    </w:p>
    <w:p w:rsidR="00EF59E3" w:rsidRDefault="001557C4">
      <w:pPr>
        <w:ind w:firstLine="720"/>
        <w:jc w:val="both"/>
      </w:pPr>
      <w:r>
        <w:t>е) от валютных операций;</w:t>
      </w:r>
    </w:p>
    <w:p w:rsidR="00EF59E3" w:rsidRDefault="001557C4">
      <w:pPr>
        <w:ind w:firstLine="720"/>
        <w:jc w:val="both"/>
      </w:pPr>
      <w:r>
        <w:t>ж) от лизинговых операций;</w:t>
      </w:r>
    </w:p>
    <w:p w:rsidR="00EF59E3" w:rsidRDefault="001557C4">
      <w:pPr>
        <w:ind w:firstLine="720"/>
        <w:jc w:val="both"/>
      </w:pPr>
      <w:r>
        <w:t>з) от факторинговых операций;</w:t>
      </w:r>
    </w:p>
    <w:p w:rsidR="00EF59E3" w:rsidRDefault="001557C4">
      <w:pPr>
        <w:ind w:firstLine="720"/>
        <w:jc w:val="both"/>
      </w:pPr>
      <w:r>
        <w:t>и) от приобретенных или арендуемых брокерских мест на биржах;</w:t>
      </w:r>
    </w:p>
    <w:p w:rsidR="00EF59E3" w:rsidRDefault="001557C4">
      <w:pPr>
        <w:ind w:firstLine="720"/>
        <w:jc w:val="both"/>
      </w:pPr>
      <w:r>
        <w:t>к) платежи клиентов по возмещению почтовых,  телеграфных и иных расходов банка;</w:t>
      </w:r>
    </w:p>
    <w:p w:rsidR="00EF59E3" w:rsidRDefault="001557C4">
      <w:pPr>
        <w:ind w:firstLine="720"/>
        <w:jc w:val="both"/>
      </w:pPr>
      <w:r>
        <w:t>л) проценты и комиссионные сборы, полученные за прошлые (по отношению к отчетному) годы,  и востребованные проценты и комиссионные сборы,  излишне уплаченные банком клиентам в прошлые (по отношению к отчетному) годы;</w:t>
      </w:r>
    </w:p>
    <w:p w:rsidR="00EF59E3" w:rsidRDefault="001557C4">
      <w:pPr>
        <w:ind w:firstLine="720"/>
        <w:jc w:val="both"/>
      </w:pPr>
      <w:r>
        <w:t>м) плату за услуги, оказанные населению;</w:t>
      </w:r>
    </w:p>
    <w:p w:rsidR="00EF59E3" w:rsidRDefault="001557C4">
      <w:pPr>
        <w:ind w:firstLine="720"/>
        <w:jc w:val="both"/>
      </w:pPr>
      <w:r>
        <w:t>н) платежи за инкассацию;</w:t>
      </w:r>
    </w:p>
    <w:p w:rsidR="00EF59E3" w:rsidRDefault="001557C4">
      <w:pPr>
        <w:ind w:firstLine="720"/>
        <w:jc w:val="both"/>
      </w:pPr>
      <w:r>
        <w:t>о) средства, поступившие от реализации основных фондов  и иного имущества банка, определяемые в виде разницы между продажной ценой и первоначальной или остаточной стоимостью  этих  фондов  и  иного имущества, увеличенные на индекс инфляции в порядке, устанавливаемом Верховным Советом Российской Федерации.  При этом первоначальная стоимость имущества не применяется к основным фондам,  нематериальным активам, малоценным и быстроизнашивающимся предметам.</w:t>
      </w:r>
    </w:p>
    <w:p w:rsidR="00EF59E3" w:rsidRDefault="001557C4">
      <w:pPr>
        <w:ind w:firstLine="720"/>
        <w:jc w:val="both"/>
      </w:pPr>
      <w:r>
        <w:t>При реализации  или безвозмездной передаче другим юридическим и физическим лицам основных фондов, оборудования, патентов, лицензий и иных  материальных и нематериальных активов,  приобретенных банком, получившим в связи с этим налоговый кредит или льготы по  налогу, предусмотренные  законодательством,  налогооблагаемый  доход увеличивается на сумму реализованных или переданных материальных и нематериальных активов  в размере не менее их первоначальной стоимости, увеличиваемой в соответствии с индексом инфляции, определяемым Верховным Советом Российской Федерации.</w:t>
      </w:r>
    </w:p>
    <w:p w:rsidR="00EF59E3" w:rsidRDefault="001557C4">
      <w:pPr>
        <w:ind w:firstLine="720"/>
        <w:jc w:val="both"/>
      </w:pPr>
      <w:r>
        <w:t>п) денежные средства,  материальные и нематериальные  активы, товары народного потребления и иное имущество,  передаваемое банку как безвозмездно, так и  в  счет погашения процентов за полученный кредит;</w:t>
      </w:r>
    </w:p>
    <w:p w:rsidR="00EF59E3" w:rsidRDefault="001557C4">
      <w:pPr>
        <w:ind w:firstLine="720"/>
        <w:jc w:val="both"/>
      </w:pPr>
      <w:r>
        <w:t>р) прочие  доходы,  полученные  в результате осуществления финансово-кредитных операций и сделок,  иной хозяйственной  деятельности, а  также взысканные (полученные) банком пени,  штрафы и неустойки.</w:t>
      </w:r>
    </w:p>
    <w:p w:rsidR="00EF59E3" w:rsidRDefault="001557C4">
      <w:pPr>
        <w:ind w:firstLine="720"/>
        <w:jc w:val="both"/>
      </w:pPr>
      <w:r>
        <w:t>2. Доходы,  полученные  банками в иностранной валюте,  подлежат налогообложению вместе с доходами,  полученными в рублях. При этом доходы, полученные  в иностранной валюте,  пересчитываются в рубли по курсу  Центрального банка Российской Федерации,  действовавшему на день получения дохода.</w:t>
      </w:r>
    </w:p>
    <w:p w:rsidR="00EF59E3" w:rsidRDefault="001557C4">
      <w:pPr>
        <w:ind w:firstLine="720"/>
        <w:jc w:val="both"/>
      </w:pPr>
      <w:r>
        <w:t>3. Налогообложение  прибыли,  получаемой при превышении  установленной маржи коммерческими банками за счет использования кредитов Центрального банка Российской Федерации, производится по прогрессивной шкале в соответствии с положением,  утверждаемым Верховным Советом Российской Федерации.</w:t>
      </w:r>
    </w:p>
    <w:p w:rsidR="00EF59E3" w:rsidRDefault="00EF59E3">
      <w:pPr>
        <w:ind w:firstLine="720"/>
        <w:jc w:val="both"/>
      </w:pPr>
    </w:p>
    <w:p w:rsidR="00EF59E3" w:rsidRDefault="001557C4">
      <w:pPr>
        <w:ind w:firstLine="720"/>
        <w:jc w:val="both"/>
        <w:rPr>
          <w:u w:val="single"/>
        </w:rPr>
      </w:pPr>
      <w:r>
        <w:rPr>
          <w:u w:val="single"/>
        </w:rPr>
        <w:t>Расчет налогооблагаемой базы:</w:t>
      </w:r>
    </w:p>
    <w:p w:rsidR="00EF59E3" w:rsidRDefault="001557C4">
      <w:pPr>
        <w:ind w:firstLine="720"/>
        <w:jc w:val="both"/>
      </w:pPr>
      <w:r>
        <w:t>Банк исчисляет налогооблагаемую базу путем уменьшения суммы доходов на сумму следующих расходов:</w:t>
      </w:r>
    </w:p>
    <w:p w:rsidR="00EF59E3" w:rsidRDefault="001557C4">
      <w:pPr>
        <w:ind w:firstLine="720"/>
        <w:jc w:val="both"/>
      </w:pPr>
      <w:r>
        <w:t>а) сумм,  причитающихся к уплате в бюджет в виде налога на имущество предприятия,  земельного и целевых налогов на покрытие затрат на финансирование строительства,  реконструкцию,  ремонт и содержание автомобильных дорог общего пользования;</w:t>
      </w:r>
    </w:p>
    <w:p w:rsidR="00EF59E3" w:rsidRDefault="001557C4">
      <w:pPr>
        <w:ind w:firstLine="720"/>
        <w:jc w:val="both"/>
      </w:pPr>
      <w:r>
        <w:t>б) платежей,  вносимых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 Государственный фонд занятости населения Российской Федерации, а также других обязательных  платежей;</w:t>
      </w:r>
    </w:p>
    <w:p w:rsidR="00EF59E3" w:rsidRDefault="001557C4">
      <w:pPr>
        <w:ind w:firstLine="720"/>
        <w:jc w:val="both"/>
      </w:pPr>
      <w:r>
        <w:t>в) начисленных  и уплаченных процентов в пределах ставки, устанавливаемой Центральным банком  Российской Федерации,  увеличенной на 3 пункта;</w:t>
      </w:r>
    </w:p>
    <w:p w:rsidR="00EF59E3" w:rsidRDefault="001557C4">
      <w:pPr>
        <w:ind w:firstLine="720"/>
        <w:jc w:val="both"/>
      </w:pPr>
      <w:r>
        <w:t>г) уплаченных комиссионных сборов за услуги и корреспондентские отношения в пределах,  устанавливаемых Центральным банком Российской Федерации;</w:t>
      </w:r>
    </w:p>
    <w:p w:rsidR="00EF59E3" w:rsidRDefault="001557C4">
      <w:pPr>
        <w:ind w:firstLine="720"/>
        <w:jc w:val="both"/>
      </w:pPr>
      <w:r>
        <w:t>д) связанных с осуществлением валютных операций;</w:t>
      </w:r>
    </w:p>
    <w:p w:rsidR="00EF59E3" w:rsidRDefault="001557C4">
      <w:pPr>
        <w:ind w:firstLine="720"/>
        <w:jc w:val="both"/>
      </w:pPr>
      <w:r>
        <w:t>е) процентов и комиссионных сборов,  уплаченных в счет  прошлых</w:t>
      </w:r>
    </w:p>
    <w:p w:rsidR="00EF59E3" w:rsidRDefault="001557C4">
      <w:pPr>
        <w:ind w:firstLine="720"/>
        <w:jc w:val="both"/>
      </w:pPr>
      <w:r>
        <w:t>(по отношению  к  отчетному году) лет,  и возврата процентов и комиссионных сборов,  излишне взысканных с клиентов за  прошлые  (по отношению к отчетному) годы;</w:t>
      </w:r>
    </w:p>
    <w:p w:rsidR="00EF59E3" w:rsidRDefault="001557C4">
      <w:pPr>
        <w:ind w:firstLine="720"/>
        <w:jc w:val="both"/>
      </w:pPr>
      <w:r>
        <w:t>ж) амортизационных отчислений на полное восстановление основных фондов, начисленных  в течение налогооблагаемого периода,  по нормам, утверждаемым в установленном порядке;</w:t>
      </w:r>
    </w:p>
    <w:p w:rsidR="00EF59E3" w:rsidRDefault="001557C4">
      <w:pPr>
        <w:ind w:firstLine="720"/>
        <w:jc w:val="both"/>
      </w:pPr>
      <w:r>
        <w:t>з) суммы  износа  нематериальных активов (в том числе стоимость брокерского места),  начисленной по  нормам,  рассчитанным  банком исходя из  первоначальной стоимости и срока их полезного использования, но не более срока деятельности банка.  Норма износа нематериальных активов,  срок полезного использования которых невозможно</w:t>
      </w:r>
    </w:p>
    <w:p w:rsidR="00EF59E3" w:rsidRDefault="001557C4">
      <w:pPr>
        <w:ind w:firstLine="720"/>
        <w:jc w:val="both"/>
      </w:pPr>
      <w:r>
        <w:t>определить, устанавливается в расчете на десять лет,  но не превышает срок деятельности банка;</w:t>
      </w:r>
    </w:p>
    <w:p w:rsidR="00EF59E3" w:rsidRDefault="001557C4">
      <w:pPr>
        <w:ind w:firstLine="720"/>
        <w:jc w:val="both"/>
      </w:pPr>
      <w:r>
        <w:t>и) по аренде основных фондов в размере амортизационных отчислений  на их полное восстановление,  а нематериальных активов (в том числе брокерского места) -  суммы  начисленного  износа.  Банки  с участием  иностранного капитала,  иностранные банки и филиалы банков-нерезидентов производят амортизационные отчисления  на  полное восстановление основных фондов и начисление суммы износа нематериальных активов  по  нормативам  и  в  порядке,  установленным  для российских предприятий,  если иное не предусмотрено международными договорами Российской Федерации и бывшего СССР, межреспубликанскими договорами  Российской  Федерации и действующим законодательством;</w:t>
      </w:r>
    </w:p>
    <w:p w:rsidR="00EF59E3" w:rsidRDefault="001557C4">
      <w:pPr>
        <w:ind w:firstLine="720"/>
        <w:jc w:val="both"/>
      </w:pPr>
      <w:r>
        <w:t>к) на рекламу,  оплату консультационных, информационных и аудиторских услуг;</w:t>
      </w:r>
    </w:p>
    <w:p w:rsidR="00EF59E3" w:rsidRDefault="001557C4">
      <w:pPr>
        <w:ind w:firstLine="720"/>
        <w:jc w:val="both"/>
      </w:pPr>
      <w:r>
        <w:t>л) на эксплуатацию зданий,  оборудования и инвентаря, принадлежащих и арендованных банку, в том числе плата  за отопление, освещение, пожарную и  сторожевую охрану,  на ремонт. При этом расходы на оплату труда не учитываются;</w:t>
      </w:r>
    </w:p>
    <w:p w:rsidR="00EF59E3" w:rsidRDefault="001557C4">
      <w:pPr>
        <w:ind w:firstLine="720"/>
        <w:jc w:val="both"/>
      </w:pPr>
      <w:r>
        <w:t>м) на служебные командировки,  представительские расходы в пределах норм, устанавливаемых Правительством Российской Федерации;</w:t>
      </w:r>
    </w:p>
    <w:p w:rsidR="00EF59E3" w:rsidRDefault="001557C4">
      <w:pPr>
        <w:ind w:firstLine="720"/>
        <w:jc w:val="both"/>
      </w:pPr>
      <w:r>
        <w:t>н) операционных, канцелярских, почтово-телеграфных, по перевозке и  хранению денежных средств и ценностей,  а также платы другим банкам за расчетно-кассовое обслуживание и  услуги  вычислительных центров.</w:t>
      </w:r>
    </w:p>
    <w:p w:rsidR="00EF59E3" w:rsidRDefault="001557C4">
      <w:pPr>
        <w:ind w:firstLine="720"/>
        <w:jc w:val="both"/>
      </w:pPr>
      <w:r>
        <w:t>Уточнение состава доходов и расходов,  учитываемых при исчислении налогооблагаемой базы,  производится Правительством Российской Федерации.</w:t>
      </w:r>
    </w:p>
    <w:p w:rsidR="00EF59E3" w:rsidRDefault="00EF59E3">
      <w:pPr>
        <w:ind w:firstLine="720"/>
        <w:jc w:val="both"/>
      </w:pPr>
    </w:p>
    <w:p w:rsidR="00EF59E3" w:rsidRDefault="001557C4">
      <w:pPr>
        <w:ind w:firstLine="720"/>
        <w:jc w:val="both"/>
        <w:rPr>
          <w:u w:val="single"/>
        </w:rPr>
      </w:pPr>
      <w:r>
        <w:rPr>
          <w:u w:val="single"/>
        </w:rPr>
        <w:t>Льготы по налогу:</w:t>
      </w:r>
    </w:p>
    <w:p w:rsidR="00EF59E3" w:rsidRDefault="001557C4">
      <w:pPr>
        <w:ind w:firstLine="720"/>
        <w:jc w:val="both"/>
      </w:pPr>
      <w:r>
        <w:t>1. От налогообложения освобождаются следующие доходы:</w:t>
      </w:r>
    </w:p>
    <w:p w:rsidR="00EF59E3" w:rsidRDefault="001557C4">
      <w:pPr>
        <w:ind w:firstLine="720"/>
        <w:jc w:val="both"/>
      </w:pPr>
      <w:r>
        <w:t>а) проценты    по   кредитам,   предоставленным   Правительству Российской Федерации,  Центральному банку Российской  Федерации  и Банку внешней торговли Российской Федерации или под их гарантии;</w:t>
      </w:r>
    </w:p>
    <w:p w:rsidR="00EF59E3" w:rsidRDefault="001557C4">
      <w:pPr>
        <w:ind w:firstLine="720"/>
        <w:jc w:val="both"/>
      </w:pPr>
      <w:r>
        <w:t>б) проценты и дивиденды,  полученные по государственным облигациям и иным государственным ценным бумагам,  а также доходы, полученные за работу по размещению государственных ценных бумаг.</w:t>
      </w:r>
    </w:p>
    <w:p w:rsidR="00EF59E3" w:rsidRDefault="001557C4">
      <w:pPr>
        <w:ind w:firstLine="720"/>
        <w:jc w:val="both"/>
      </w:pPr>
      <w:r>
        <w:t>2. Налогооблагаемая база уменьшается на суммы:</w:t>
      </w:r>
    </w:p>
    <w:p w:rsidR="00EF59E3" w:rsidRDefault="001557C4">
      <w:pPr>
        <w:ind w:firstLine="720"/>
        <w:jc w:val="both"/>
      </w:pPr>
      <w:r>
        <w:t>а) отчислений  в фонд страхования депозитов в коммерческих банках, фонд  страхования  коммерческих  банков  от  банкротства – по одному проценту от балансовой прибыли за квартал в каждый из перечисленных фондов;</w:t>
      </w:r>
    </w:p>
    <w:p w:rsidR="00EF59E3" w:rsidRDefault="001557C4">
      <w:pPr>
        <w:ind w:firstLine="720"/>
        <w:jc w:val="both"/>
      </w:pPr>
      <w:r>
        <w:t>б) затрат,  осуществляемых в соответствии с утвержденными местными органами государственной власти нормативами на содержание находящихся на  балансе  банков  объектов   здравоохранения,   домов престарелых и  инвалидов,  детских дошкольных учреждений,  детских лагерей отдыха, объектов культуры, спорта, учреждений образования, жилищного фонда,  а также затрат банков на эти цели при их долевом участии в содержании перечисленных объектов.  Затраты  банков  при долевом участии принимаются в пределах норм, утвержденных местными органами государственной власти,  на территориях которых находятся указанные объекты и учреждения;</w:t>
      </w:r>
    </w:p>
    <w:p w:rsidR="00EF59E3" w:rsidRDefault="001557C4">
      <w:pPr>
        <w:ind w:firstLine="720"/>
        <w:jc w:val="both"/>
      </w:pPr>
      <w:r>
        <w:t>в) взносов,  направляемых на благотворительные цели в  экологические, оздоровительные,  образовательные  и другие фонды (общественные объединения),  общественным организациям инвалидов,   домам престарелых  и  инвалидов, религиозным объединениям, зарегистрированным в установленном порядке,  а также предприятиям, учреждениям и организациям культуры, образования, здравоохранения, социального обеспечения, физкультуры и спорта  в сумме,  не превышающей одного процента налогооблагаемого дохода.</w:t>
      </w:r>
    </w:p>
    <w:p w:rsidR="00EF59E3" w:rsidRDefault="001557C4">
      <w:pPr>
        <w:ind w:firstLine="720"/>
        <w:jc w:val="both"/>
      </w:pPr>
      <w:r>
        <w:t>Все перечисленные фонды, предприятия, учреждения и организации, получившие такие средства, по окончании отчетного года представляют в  налоговый орган по месту своего нахождения отчет о поступивших суммах и их расходовании. Суммы, использованные не по назначению, изымаются в доход федерального бюджета.</w:t>
      </w:r>
    </w:p>
    <w:p w:rsidR="00EF59E3" w:rsidRDefault="001557C4">
      <w:pPr>
        <w:ind w:firstLine="720"/>
        <w:jc w:val="both"/>
      </w:pPr>
      <w:r>
        <w:t>г) затрат на техническое перевооружение,  а также  на  строительство и реконструкцию объектов социальной инфраструктуры.</w:t>
      </w:r>
    </w:p>
    <w:p w:rsidR="00EF59E3" w:rsidRDefault="001557C4">
      <w:pPr>
        <w:ind w:firstLine="720"/>
        <w:jc w:val="both"/>
      </w:pPr>
      <w:r>
        <w:t>Эта льгота предоставляется при условии  полного  использования сумм начисленного  износа  (амортизации) на последнюю отчетную дату.</w:t>
      </w:r>
    </w:p>
    <w:p w:rsidR="00EF59E3" w:rsidRDefault="001557C4">
      <w:pPr>
        <w:ind w:firstLine="720"/>
        <w:jc w:val="both"/>
      </w:pPr>
      <w:r>
        <w:t>3. Для   банков, получивших в предыдущем году убыток (по данным годового бухгалтерского отчета),  часть доходов,  направленных  на его покрытие, освобождается от уплаты налога в течение последующих пяти лет (при условии полного использования на  эти  цели  средств резервного и других аналогичных по назначению фондов, создание которых предусмотрено законодательством).</w:t>
      </w:r>
    </w:p>
    <w:p w:rsidR="00EF59E3" w:rsidRDefault="001557C4">
      <w:pPr>
        <w:ind w:firstLine="720"/>
        <w:jc w:val="both"/>
      </w:pPr>
      <w:r>
        <w:t>4. Налоговые  льготы, установленные подпунктами "б" - "г" пункта 2 и пунктом 3 настоящей статьи, не должны уменьшать фактическую сумму налога, исчисленную без учета льгот, более чем на 50 процентов.</w:t>
      </w:r>
    </w:p>
    <w:p w:rsidR="00EF59E3" w:rsidRDefault="001557C4">
      <w:pPr>
        <w:ind w:firstLine="720"/>
        <w:jc w:val="both"/>
      </w:pPr>
      <w:r>
        <w:t>5. Иностранный участник банка с участием иностранного капитала, имеющий в  соответствии с международным договором Российской Федерации или бывшего СССР право на полное или частичное  освобождение от обложения налогом дохода, полученного им в результате распределения дохода банка,  подает заявление о снижении или отмене налога в порядке, установленном Министерством финансов Российской Федерации.  В случае подачи заявления после перевода  полученного дохода за границу оно должно быть представлено в течение календарного года  со дня перевода. Заявление,  поданное  по истечении указанного срока, к рассмотрению не принимается.</w:t>
      </w:r>
    </w:p>
    <w:p w:rsidR="00EF59E3" w:rsidRDefault="001557C4">
      <w:pPr>
        <w:ind w:firstLine="720"/>
        <w:jc w:val="both"/>
      </w:pPr>
      <w:r>
        <w:t>Иностранные банки, филиалы банков-нерезидентов, имеющие в соответствии с международными договорами Российской Федерации или бывшего СССР право на полное или частичное освобождение от налога  на доходы от источников в Российской Федерации, реализуют это право в соответствии с порядком, предусмотренным для иностранного участника банка   с участием иностранного капитала.</w:t>
      </w:r>
    </w:p>
    <w:p w:rsidR="00EF59E3" w:rsidRDefault="00EF59E3">
      <w:pPr>
        <w:ind w:firstLine="720"/>
        <w:jc w:val="both"/>
      </w:pPr>
    </w:p>
    <w:p w:rsidR="00EF59E3" w:rsidRDefault="001557C4">
      <w:pPr>
        <w:ind w:firstLine="720"/>
        <w:jc w:val="both"/>
        <w:rPr>
          <w:u w:val="single"/>
        </w:rPr>
      </w:pPr>
      <w:r>
        <w:rPr>
          <w:u w:val="single"/>
        </w:rPr>
        <w:t>Порядок исчисления налога и сроки уплаты его в бюджет:</w:t>
      </w:r>
    </w:p>
    <w:p w:rsidR="00EF59E3" w:rsidRDefault="001557C4">
      <w:pPr>
        <w:ind w:firstLine="720"/>
        <w:jc w:val="both"/>
      </w:pPr>
      <w:r>
        <w:t>1. Сумма налога определяется плательщиками самостоятельно исходя из величины налогооблагаемой базы с учетом предоставленных  льгот по налогу и установленных ставок налога.</w:t>
      </w:r>
    </w:p>
    <w:p w:rsidR="00EF59E3" w:rsidRDefault="001557C4">
      <w:pPr>
        <w:ind w:firstLine="720"/>
        <w:jc w:val="both"/>
      </w:pPr>
      <w:r>
        <w:t>2. В  течение  квартала плательщики производят авансовые взносы налога в бюджет, исчисленные из предполагаемой суммы дохода за налогооблагаемый период.</w:t>
      </w:r>
    </w:p>
    <w:p w:rsidR="00EF59E3" w:rsidRDefault="001557C4">
      <w:pPr>
        <w:ind w:firstLine="720"/>
        <w:jc w:val="both"/>
      </w:pPr>
      <w:r>
        <w:t>Авансовые взносы производятся не позднее 10 и 25 числа  каждого месяца равными долями в размере одной шестой квартальной суммы налога.</w:t>
      </w:r>
    </w:p>
    <w:p w:rsidR="00EF59E3" w:rsidRDefault="001557C4">
      <w:pPr>
        <w:ind w:firstLine="720"/>
        <w:jc w:val="both"/>
      </w:pPr>
      <w:r>
        <w:t>Если суммы налоговых платежей незначительны,  то по ходатайству плательщика налоговый орган может установить один  срок  уплаты  в бюджет - 20 числа каждого месяца,  в размере одной трети квартальной суммы налога.</w:t>
      </w:r>
    </w:p>
    <w:p w:rsidR="00EF59E3" w:rsidRDefault="001557C4">
      <w:pPr>
        <w:ind w:firstLine="720"/>
        <w:jc w:val="both"/>
      </w:pPr>
      <w:r>
        <w:t>По окончании первого квартала, полугодия, девяти месяцев и года плательщики исчисляют нарастающим итогом сумму  налога  исходя  из фактически полученного ими дохода, подлежащего  обложению налогом, и установленной ставки.  Уплата налога производится по квартальным расчетам в пятидневный срок со дня, установленного для представления бухгалтерского отчета  (баланса)  за  квартал,  а  по  годовым расчетам -   в  десятидневный  срок  со  дня,  установленного  для представления бухгалтерского отчета (баланса) за год.</w:t>
      </w:r>
    </w:p>
    <w:p w:rsidR="00EF59E3" w:rsidRDefault="001557C4">
      <w:pPr>
        <w:ind w:firstLine="720"/>
        <w:jc w:val="both"/>
      </w:pPr>
      <w:r>
        <w:t>Платежные поручения  на  перечисление  в бюджет налога на доход сдаются плательщиками в учреждения  банков  до  наступления  срока платежа.</w:t>
      </w:r>
    </w:p>
    <w:p w:rsidR="00EF59E3" w:rsidRDefault="001557C4">
      <w:pPr>
        <w:ind w:firstLine="720"/>
        <w:jc w:val="both"/>
      </w:pPr>
      <w:r>
        <w:t>3. Излишне  внесенные суммы налога засчитываются в счет очередных платежей или возвращаются плательщику в десятидневный срок  со дня получения его письменного заявления.</w:t>
      </w:r>
    </w:p>
    <w:p w:rsidR="00EF59E3" w:rsidRDefault="00EF59E3">
      <w:pPr>
        <w:ind w:firstLine="720"/>
        <w:jc w:val="both"/>
      </w:pPr>
    </w:p>
    <w:p w:rsidR="00EF59E3" w:rsidRDefault="001557C4">
      <w:pPr>
        <w:ind w:firstLine="720"/>
        <w:jc w:val="both"/>
        <w:rPr>
          <w:u w:val="single"/>
        </w:rPr>
      </w:pPr>
      <w:r>
        <w:rPr>
          <w:u w:val="single"/>
        </w:rPr>
        <w:t>Устранение двойного налогообложения:</w:t>
      </w:r>
    </w:p>
    <w:p w:rsidR="00EF59E3" w:rsidRDefault="001557C4">
      <w:pPr>
        <w:ind w:firstLine="720"/>
        <w:jc w:val="both"/>
      </w:pPr>
      <w:r>
        <w:t>1. Сумма дохода,  полученная за пределами Российской Федерации, включается в  общую  сумму  дохода,  подлежащую  налогообложению в Российской Федерации,  и учитывается при определении размера налога.</w:t>
      </w:r>
    </w:p>
    <w:p w:rsidR="00EF59E3" w:rsidRDefault="001557C4">
      <w:pPr>
        <w:ind w:firstLine="720"/>
        <w:jc w:val="both"/>
      </w:pPr>
      <w:r>
        <w:t>2. Уплаченная  за пределами Российской Федерации в соответствии с законодательством других государств сумма налога на доход, полученный на  территориях  этих государств,  засчитывается при уплате налога на доход в Российской Федерации. При этом размер засчитываемой суммы  не  может превышать суммы налога на доход,  подлежащей уплате в Российской Федерации по доходу,  полученному за ее пределами.</w:t>
      </w:r>
    </w:p>
    <w:p w:rsidR="00EF59E3" w:rsidRDefault="001557C4">
      <w:pPr>
        <w:ind w:firstLine="720"/>
        <w:jc w:val="both"/>
      </w:pPr>
      <w:r>
        <w:t>3. Правила устранения двойного налогообложения не распространяются на иностранных  юридических лиц, получающих доходы в связи с деятельностью в Российской Федерации.</w:t>
      </w:r>
    </w:p>
    <w:p w:rsidR="00EF59E3" w:rsidRDefault="00EF59E3">
      <w:pPr>
        <w:ind w:firstLine="720"/>
        <w:jc w:val="both"/>
      </w:pPr>
    </w:p>
    <w:p w:rsidR="00EF59E3" w:rsidRDefault="001557C4">
      <w:pPr>
        <w:ind w:firstLine="720"/>
        <w:jc w:val="both"/>
        <w:rPr>
          <w:u w:val="single"/>
        </w:rPr>
      </w:pPr>
      <w:r>
        <w:rPr>
          <w:u w:val="single"/>
        </w:rPr>
        <w:t>Плательщиками налога на доход в соответствии с Законом РФ "О налогообложении доходов от страховой деятельности" являются:</w:t>
      </w:r>
    </w:p>
    <w:p w:rsidR="00EF59E3" w:rsidRDefault="001557C4">
      <w:pPr>
        <w:numPr>
          <w:ilvl w:val="0"/>
          <w:numId w:val="4"/>
        </w:numPr>
        <w:jc w:val="both"/>
      </w:pPr>
      <w:r>
        <w:t>Плательщиками налога на доходы от страховой  деятельности, осуществляемой на основе лицензии, считаются предприятия, учреждения, организации,  являющиеся  юридическими  лицами  по  законодательству Российской Федерации,  включая предприятия с иностранными инвестициями.</w:t>
      </w:r>
    </w:p>
    <w:p w:rsidR="00EF59E3" w:rsidRDefault="001557C4">
      <w:pPr>
        <w:numPr>
          <w:ilvl w:val="0"/>
          <w:numId w:val="4"/>
        </w:numPr>
        <w:jc w:val="both"/>
      </w:pPr>
      <w:r>
        <w:t>Плательщиками  налога  на доходы от страховой деятельности являются также компании,  фирмы, любые другие организации, образованные в  соответствии с законодательством иностранных государств, которые осуществляют в установленном  порядке  страховую  деятельность в Российской Федерации через постоянные представительства.</w:t>
      </w:r>
    </w:p>
    <w:p w:rsidR="00EF59E3" w:rsidRDefault="001557C4">
      <w:pPr>
        <w:pStyle w:val="21"/>
        <w:jc w:val="both"/>
      </w:pPr>
      <w:r>
        <w:t>Под постоянным представительством  иностранного  юридического лица для   целей   налогообложения   понимается   бюро,   контора, агентство, любое другое место осуществления страховой  деятельности, а  также  организации  и граждане, уполномоченные иностранными юридическими  лицами осуществлять представительские функции в Российской Федерации. Иностранное юридическое лицо подлежит учету в налоговом органе по месту нахождения его постоянного представительства.</w:t>
      </w:r>
    </w:p>
    <w:p w:rsidR="00EF59E3" w:rsidRDefault="001557C4">
      <w:pPr>
        <w:numPr>
          <w:ilvl w:val="0"/>
          <w:numId w:val="5"/>
        </w:numPr>
        <w:jc w:val="both"/>
      </w:pPr>
      <w:r>
        <w:t>Предприятия, учреждения и организации, указанные в настоящей статье, именуются в дальнейшем - страховые организации.</w:t>
      </w:r>
    </w:p>
    <w:p w:rsidR="00EF59E3" w:rsidRDefault="00EF59E3">
      <w:pPr>
        <w:ind w:firstLine="720"/>
        <w:jc w:val="both"/>
        <w:rPr>
          <w:u w:val="single"/>
        </w:rPr>
      </w:pPr>
    </w:p>
    <w:p w:rsidR="00EF59E3" w:rsidRDefault="001557C4">
      <w:pPr>
        <w:rPr>
          <w:u w:val="single"/>
        </w:rPr>
      </w:pPr>
      <w:r>
        <w:rPr>
          <w:u w:val="single"/>
        </w:rPr>
        <w:t>Объект обложения налогом:</w:t>
      </w:r>
    </w:p>
    <w:p w:rsidR="00EF59E3" w:rsidRDefault="001557C4">
      <w:r>
        <w:t>1. Объектом обложения налогом является доход от страховой деятельности, уменьшенный на сумму затрат,  включаемых  в  себестоимость страховых услуг. При  этом  затраты  на оплату труда штатных работников в себестоимость страховых услуг не включаются.</w:t>
      </w:r>
    </w:p>
    <w:p w:rsidR="00EF59E3" w:rsidRDefault="001557C4">
      <w:r>
        <w:t>2. Доход от страховой деятельности представляет  собой  сумму страховых платежей (премий),  получаемых по договорам страхования, перестрахования, а также иных поступлений  доходов,  связанных  со страховой деятельностью.</w:t>
      </w:r>
    </w:p>
    <w:p w:rsidR="00EF59E3" w:rsidRDefault="001557C4">
      <w:r>
        <w:t>3. Доходы в иностранной валюте  подлежат  налогообложению  по совокупности с  доходом  от  страховой деятельности в рублях.  При этом доходы в иностранной валюте пересчитываются в рубли по  курсу Центрального банка  Российской  Федерации,  действовавшему на день поступления средств на валютный счет или в кассу предприятия.</w:t>
      </w:r>
    </w:p>
    <w:p w:rsidR="00EF59E3" w:rsidRDefault="001557C4">
      <w:r>
        <w:t>4. Страховые  организации,  получившие доход от иной деятельности, уплачивают налог от этой деятельности в  порядке,  установленном законами о налогах на прибыль и доход предприятий,  а также другими законодательными актами о налогах.</w:t>
      </w:r>
    </w:p>
    <w:p w:rsidR="00EF59E3" w:rsidRDefault="001557C4">
      <w:r>
        <w:t>5. Налог  на доходы от акций,  облигаций и иных ценных бумаг, принадлежащих страховой организации, а также от долевого участия в других предприятиях взимается у источника этих доходов.</w:t>
      </w:r>
    </w:p>
    <w:p w:rsidR="00EF59E3" w:rsidRDefault="00EF59E3"/>
    <w:p w:rsidR="00EF59E3" w:rsidRDefault="001557C4">
      <w:pPr>
        <w:rPr>
          <w:u w:val="single"/>
        </w:rPr>
      </w:pPr>
      <w:r>
        <w:rPr>
          <w:u w:val="single"/>
        </w:rPr>
        <w:t>Расчет налогооблагаемой базы:</w:t>
      </w:r>
    </w:p>
    <w:p w:rsidR="00EF59E3" w:rsidRDefault="001557C4">
      <w:r>
        <w:t>В целях налогообложения доход уменьшается на сумму следующих расходов:</w:t>
      </w:r>
    </w:p>
    <w:p w:rsidR="00EF59E3" w:rsidRDefault="001557C4">
      <w:r>
        <w:t>а) выплаченных страховых сумм и страховых возмещений;</w:t>
      </w:r>
    </w:p>
    <w:p w:rsidR="00EF59E3" w:rsidRDefault="001557C4">
      <w:r>
        <w:t>б) комиссионных   вознаграждений,   выплаченных   посредникам (страховым агентам, страховым брокерам) по операциям страхования и перестрахования;</w:t>
      </w:r>
    </w:p>
    <w:p w:rsidR="00EF59E3" w:rsidRDefault="001557C4">
      <w:r>
        <w:t>в) страховых платежей (премий), переданных в перестрахование;</w:t>
      </w:r>
    </w:p>
    <w:p w:rsidR="00EF59E3" w:rsidRDefault="001557C4">
      <w:r>
        <w:t>г) возврата  перестраховщикам  их  доли специальных страховых резервов предыдущего года;</w:t>
      </w:r>
    </w:p>
    <w:p w:rsidR="00EF59E3" w:rsidRDefault="001557C4">
      <w:r>
        <w:t>д) отчислений в специальные страховые фонды и резервы,  образуемые в соответствии с законодательными актами;</w:t>
      </w:r>
    </w:p>
    <w:p w:rsidR="00EF59E3" w:rsidRDefault="001557C4">
      <w:r>
        <w:t>е) сумм,  вносимых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 Государственный фонд занятости населения Российской Федерации, а также других обязательных  платежей;</w:t>
      </w:r>
    </w:p>
    <w:p w:rsidR="00EF59E3" w:rsidRDefault="001557C4">
      <w:r>
        <w:t>ж) сумм,  причитающихся  к   уплате   в   бюджетную   систему Российской Федерации  в виде налога на имущество страховой организации, земельного налога и целевых налогов на покрытие  затрат  на финансирование строительства,  реконструкции, ремонта и содержание автомобильных дорог общего пользования;</w:t>
      </w:r>
    </w:p>
    <w:p w:rsidR="00EF59E3" w:rsidRDefault="001557C4">
      <w:r>
        <w:t>з) расходов, включаемых в себестоимость страховых услуг и определяемых в соответствии с законодательными актами о  налогообложении прибыли (дохода) предприятий;</w:t>
      </w:r>
    </w:p>
    <w:p w:rsidR="00EF59E3" w:rsidRDefault="001557C4">
      <w:r>
        <w:t>и) амортизационных отчислений на полное восстановление основных фондов,  начисленных  в  течение  налогооблагаемого периода по нормам, утверждаемым Правительством Российской Федерации;</w:t>
      </w:r>
    </w:p>
    <w:p w:rsidR="00EF59E3" w:rsidRDefault="001557C4">
      <w:r>
        <w:t>к) суммы  износа нематериальных активов,  начисленной по нормам,  рассчитанным  плательщиком  налога  исходя из первоначальной стоимости  и  срока их полезного использования,  но не более срока деятельности  плательщика. Норма  износа   нематериальных активов, срок полезного использования которых невозможно определить,  устанавливается в расчете на десять лет,  но не  более  срока деятельности страховой организации;</w:t>
      </w:r>
    </w:p>
    <w:p w:rsidR="00EF59E3" w:rsidRDefault="001557C4">
      <w:r>
        <w:t>л) по аренде основных фондов - в размере амортизационных  отчислений на полное их восстановление, а нематериальных активов – в размере суммы начисленного износа.  Страховые организации с иностранными инвестициями,   их   филиалы,   находящиеся  за  пределами Российской Федерации,  страховые организации, осуществляющие страховую деятельность   в   Российской   Федерации  через  постоянные представительства, производят амортизационные отчисления на полное восстановление основных  фондов и начисление  суммы износа нематериальных активов по нормативам  и  в  порядке,  установленным  для российских предприятий, если иное не предусмотрено международными договорами Российской Федерации и бывшего СССР, межреспубликанскими договорами Российской Федерации и  действующим  законодательством;</w:t>
      </w:r>
    </w:p>
    <w:p w:rsidR="00EF59E3" w:rsidRDefault="001557C4">
      <w:r>
        <w:t>м) других расходов,  связанных с особенностями страховой деятельности.</w:t>
      </w:r>
    </w:p>
    <w:p w:rsidR="00EF59E3" w:rsidRDefault="001557C4">
      <w:r>
        <w:t>При определении налогооблагаемой базы страховых  организаций, получающих доходы  от  иной  деятельности,  отнесение  расходов на страховую деятельность,  за исключением  предусмотренных  пунктами "а" - "д" настоящей статьи,  производится исходя из доли дохода от этого вида деятельности в общей сумме дохода  страховых  организаций.</w:t>
      </w:r>
    </w:p>
    <w:p w:rsidR="00EF59E3" w:rsidRDefault="001557C4">
      <w:r>
        <w:t>Уточнение состава доходов и расходов, учитываемых при определении налогооблагаемой    базы,    производится     Правительством Российской Федерации.</w:t>
      </w:r>
    </w:p>
    <w:p w:rsidR="00EF59E3" w:rsidRDefault="00EF59E3">
      <w:pPr>
        <w:ind w:firstLine="720"/>
        <w:jc w:val="both"/>
      </w:pPr>
    </w:p>
    <w:p w:rsidR="00EF59E3" w:rsidRDefault="001557C4">
      <w:pPr>
        <w:ind w:firstLine="720"/>
        <w:jc w:val="both"/>
      </w:pPr>
      <w:r>
        <w:rPr>
          <w:u w:val="single"/>
        </w:rPr>
        <w:t>Порядок исчисления и сроки уплаты налога:</w:t>
      </w:r>
    </w:p>
    <w:p w:rsidR="00EF59E3" w:rsidRDefault="001557C4">
      <w:pPr>
        <w:ind w:firstLine="720"/>
        <w:jc w:val="both"/>
      </w:pPr>
      <w:r>
        <w:t>1. Суммы  налога определяются страховой организацией на основании бухгалтерской отчетности самостоятельно в соответствии с положениями Закона.</w:t>
      </w:r>
    </w:p>
    <w:p w:rsidR="00EF59E3" w:rsidRDefault="001557C4">
      <w:pPr>
        <w:ind w:firstLine="720"/>
        <w:jc w:val="both"/>
      </w:pPr>
      <w:r>
        <w:t>2. В течение квартала страховая организация  производит авансовые взносы налога исходя из предполагаемой суммы дохода за налогооблагаемый период и ставки налога.</w:t>
      </w:r>
    </w:p>
    <w:p w:rsidR="00EF59E3" w:rsidRDefault="001557C4">
      <w:pPr>
        <w:ind w:firstLine="720"/>
        <w:jc w:val="both"/>
      </w:pPr>
      <w:r>
        <w:t>Авансовые взносы  налога  производятся страховой организацией не позднее 10 и 25 числа каждого месяца равными долями  в  размере одной шестой квартальной суммы налога на доход.</w:t>
      </w:r>
    </w:p>
    <w:p w:rsidR="00EF59E3" w:rsidRDefault="001557C4">
      <w:pPr>
        <w:ind w:firstLine="720"/>
        <w:jc w:val="both"/>
      </w:pPr>
      <w:r>
        <w:t>По ходатайству страховой организации,  имеющей незначительную сумму налога на доход, орган исполнительной власти по месту нахождения организации может установить один срок  уплаты  -  20  числа каждого месяца, в размере одной трети квартальной суммы налога.</w:t>
      </w:r>
    </w:p>
    <w:p w:rsidR="00EF59E3" w:rsidRDefault="001557C4">
      <w:pPr>
        <w:ind w:firstLine="720"/>
        <w:jc w:val="both"/>
      </w:pPr>
      <w:r>
        <w:t>По окончании первого квартала,  полугодия,  девяти месяцев  и года страховая организация исчисляет сумму налога нарастающим итогом с начала года исходя из фактически полученного ею дохода, подлежащего налогообложению,  и ставки налога. Сумма налога, подлежащая уплате в бюджет,  определяется с учетом ранее начисленных платежей.</w:t>
      </w:r>
    </w:p>
    <w:p w:rsidR="00EF59E3" w:rsidRDefault="001557C4">
      <w:pPr>
        <w:ind w:firstLine="720"/>
        <w:jc w:val="both"/>
      </w:pPr>
      <w:r>
        <w:t>3. Уплата налога производится по квартальным расчетам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год.</w:t>
      </w:r>
    </w:p>
    <w:p w:rsidR="00EF59E3" w:rsidRDefault="001557C4">
      <w:pPr>
        <w:ind w:firstLine="720"/>
        <w:jc w:val="both"/>
      </w:pPr>
      <w:r>
        <w:t>Страховая организация  обязана  до  наступления срока платежа сдать в соответствующие учреждения банка  платежные  поручения  на перечисление налога в  бюджет,  которые исполняются в первоочередном порядке.</w:t>
      </w:r>
    </w:p>
    <w:p w:rsidR="00EF59E3" w:rsidRDefault="001557C4">
      <w:pPr>
        <w:ind w:firstLine="720"/>
        <w:jc w:val="both"/>
      </w:pPr>
      <w:r>
        <w:t>4. Излишне  внесенные  суммы налога засчитываются в счет очередных платежей или возвращаются страховой организации в  десятидневный срок со дня получения его письменного заявления.</w:t>
      </w:r>
    </w:p>
    <w:p w:rsidR="00EF59E3" w:rsidRDefault="00EF59E3">
      <w:pPr>
        <w:ind w:firstLine="720"/>
        <w:jc w:val="both"/>
      </w:pPr>
    </w:p>
    <w:p w:rsidR="00EF59E3" w:rsidRDefault="001557C4">
      <w:pPr>
        <w:ind w:firstLine="720"/>
        <w:jc w:val="both"/>
        <w:rPr>
          <w:u w:val="single"/>
        </w:rPr>
      </w:pPr>
      <w:r>
        <w:rPr>
          <w:u w:val="single"/>
        </w:rPr>
        <w:t>Устранение двойного налогообложения:</w:t>
      </w:r>
    </w:p>
    <w:p w:rsidR="00EF59E3" w:rsidRDefault="001557C4">
      <w:pPr>
        <w:ind w:firstLine="720"/>
        <w:jc w:val="both"/>
      </w:pPr>
      <w:r>
        <w:t>1. Сумма дохода,  полученная за пределами Российской  Федерации, включается в общую сумму дохода, подлежащую налогообложению в Российской Федерации, и учитывается при определении размера налога</w:t>
      </w:r>
    </w:p>
    <w:p w:rsidR="00EF59E3" w:rsidRDefault="001557C4">
      <w:pPr>
        <w:ind w:firstLine="720"/>
        <w:jc w:val="both"/>
      </w:pPr>
      <w:r>
        <w:t>2. Уплаченная  за  пределами  Российской  Федерации  в  соответствии с законодательствами других государств  сумма  налога  на доход страховой организации,  полученный на территориях этих государств,  засчитывается при уплате страховой организацией налога на доход в Российской Федерации.  При этом размер засчитываемой суммы не может превышать суммы налога  на  доход,  подлежащей  уплате  в Российской Федерации по доходу, полученному за ее пределами.</w:t>
      </w:r>
    </w:p>
    <w:p w:rsidR="00EF59E3" w:rsidRDefault="00EF59E3">
      <w:pPr>
        <w:ind w:firstLine="720"/>
        <w:jc w:val="both"/>
      </w:pPr>
    </w:p>
    <w:p w:rsidR="00EF59E3" w:rsidRDefault="00EF59E3">
      <w:pPr>
        <w:ind w:firstLine="720"/>
        <w:jc w:val="both"/>
      </w:pPr>
    </w:p>
    <w:p w:rsidR="00EF59E3" w:rsidRDefault="001557C4">
      <w:pPr>
        <w:jc w:val="both"/>
        <w:rPr>
          <w:b/>
          <w:bCs/>
          <w:i/>
          <w:iCs/>
        </w:rPr>
      </w:pPr>
      <w:r>
        <w:rPr>
          <w:b/>
          <w:bCs/>
          <w:u w:val="single"/>
        </w:rPr>
        <w:t>ВОПРОС 2</w:t>
      </w:r>
      <w:r>
        <w:rPr>
          <w:b/>
          <w:bCs/>
          <w:i/>
          <w:iCs/>
        </w:rPr>
        <w:t>: Система акцизов. Порядок исчисления и уплаты.</w:t>
      </w:r>
    </w:p>
    <w:p w:rsidR="00EF59E3" w:rsidRDefault="00EF59E3">
      <w:pPr>
        <w:ind w:firstLine="720"/>
        <w:jc w:val="both"/>
      </w:pPr>
    </w:p>
    <w:p w:rsidR="00EF59E3" w:rsidRDefault="001557C4">
      <w:pPr>
        <w:pStyle w:val="3"/>
      </w:pPr>
      <w:r>
        <w:t>Акцизы  -  косвенные налоги, включаемые в цену товара (продукции). Акцизами облагаются  следующие   товары   (продукция):   спирт этиловый из всех видов сырья, спирт винный, спирт питьевой, водка, ликероводочные изделия,  коньяк,  шампанское (вино игристое), вино натуральное,  другие алкогольные напитки,  пиво, табачные изделия, ювелирные изделия,  бензин автомобильный,  легковые автомобили (за исключением   автомобилей   с   ручным   управлением,  реализуемых инвалидам  в  порядке,  определяемом   Правительством   Российской Федерации),  а также отдельные виды минерального сырья по перечню, утверждаемому  Правительством  Российской   Федерации   (далее   - подакцизные товары). При ввозе  подакцизных  товаров   на   территорию   Российской Федерации  порядок их обложения акцизами устанавливается Федеральным  законом  и  таможенным  законодательством  Российской Федерации.</w:t>
      </w:r>
    </w:p>
    <w:p w:rsidR="00EF59E3" w:rsidRDefault="00EF59E3">
      <w:pPr>
        <w:ind w:firstLine="720"/>
        <w:jc w:val="both"/>
      </w:pPr>
    </w:p>
    <w:p w:rsidR="00EF59E3" w:rsidRDefault="001557C4">
      <w:pPr>
        <w:ind w:firstLine="720"/>
        <w:jc w:val="both"/>
        <w:rPr>
          <w:u w:val="single"/>
        </w:rPr>
      </w:pPr>
      <w:r>
        <w:rPr>
          <w:u w:val="single"/>
        </w:rPr>
        <w:t>Плательщики акцизов:</w:t>
      </w:r>
    </w:p>
    <w:p w:rsidR="00EF59E3" w:rsidRDefault="001557C4">
      <w:pPr>
        <w:ind w:firstLine="720"/>
        <w:jc w:val="both"/>
      </w:pPr>
      <w:r>
        <w:t>Плательщиками ^акцизов являются:</w:t>
      </w:r>
    </w:p>
    <w:p w:rsidR="00EF59E3" w:rsidRDefault="001557C4">
      <w:pPr>
        <w:ind w:firstLine="720"/>
        <w:jc w:val="both"/>
      </w:pPr>
      <w:r>
        <w:t>а) по  подакцизным   товарам,   производимым   на   территории Российской Федерации (за исключением производимых из давальческого сырья),  - производящие и реализующие их предприятия, учреждения и организации,   являющиеся   в   соответствии  с  законодательством Российской Федерации юридическими  лицами,  их  филиалы  и  другие обособленные  подразделения,  имеющие отдельный баланс и расчетный (текущий)  счет,  иностранные  юридические   лица,   международные организации,   филиалы   и   другие   обособленные   подразделения иностранных юридических лиц и международных организаций, созданные на  территории Российской Федерации,  иностранные организации,  не имеющие статуса юридического лица (далее - организации);</w:t>
      </w:r>
    </w:p>
    <w:p w:rsidR="00EF59E3" w:rsidRDefault="001557C4">
      <w:pPr>
        <w:ind w:firstLine="720"/>
        <w:jc w:val="both"/>
      </w:pPr>
      <w:r>
        <w:t>б) по подакцизным товарам, производимым из давальческого сырья на территории Российской Федерации, - производящие их организации;</w:t>
      </w:r>
    </w:p>
    <w:p w:rsidR="00EF59E3" w:rsidRDefault="001557C4">
      <w:pPr>
        <w:ind w:firstLine="720"/>
        <w:jc w:val="both"/>
      </w:pPr>
      <w:r>
        <w:t>в) по   подакцизным   товарам,   производимым   за   пределами территории   Российской   Федерации   из   давальческого    сырья, принадлежащего  организациям,  подлежащим  регистрации  в качестве налогоплательщиков  в   Российской   Федерации,   -   организации, оплатившие   стоимость  работы  по  изготовлению  этих  товаров  и</w:t>
      </w:r>
    </w:p>
    <w:p w:rsidR="00EF59E3" w:rsidRDefault="001557C4">
      <w:pPr>
        <w:ind w:firstLine="720"/>
        <w:jc w:val="both"/>
      </w:pPr>
      <w:r>
        <w:t>реализующие их.</w:t>
      </w:r>
    </w:p>
    <w:p w:rsidR="00EF59E3" w:rsidRDefault="001557C4">
      <w:pPr>
        <w:ind w:firstLine="720"/>
        <w:jc w:val="both"/>
      </w:pPr>
      <w:r>
        <w:t>Состав плательщиков  акцизов в отношении товаров,  ввозимых на территорию   Российской   Федерации,    определяется    таможенным законодательством Российской Федерации.</w:t>
      </w:r>
    </w:p>
    <w:p w:rsidR="00EF59E3" w:rsidRDefault="00EF59E3">
      <w:pPr>
        <w:ind w:firstLine="720"/>
        <w:jc w:val="both"/>
      </w:pPr>
    </w:p>
    <w:p w:rsidR="00EF59E3" w:rsidRDefault="001557C4">
      <w:pPr>
        <w:ind w:firstLine="720"/>
        <w:jc w:val="both"/>
        <w:rPr>
          <w:u w:val="single"/>
        </w:rPr>
      </w:pPr>
      <w:r>
        <w:rPr>
          <w:u w:val="single"/>
        </w:rPr>
        <w:t>Объект налогообложения:</w:t>
      </w:r>
    </w:p>
    <w:p w:rsidR="00EF59E3" w:rsidRDefault="001557C4">
      <w:pPr>
        <w:ind w:firstLine="720"/>
        <w:jc w:val="both"/>
      </w:pPr>
      <w:r>
        <w:t>1. Объектом налогообложения является:</w:t>
      </w:r>
    </w:p>
    <w:p w:rsidR="00EF59E3" w:rsidRDefault="001557C4">
      <w:pPr>
        <w:ind w:firstLine="720"/>
        <w:jc w:val="both"/>
      </w:pPr>
      <w:r>
        <w:t>а) по   товарам,   производимым   на   территории   Российской Федерации:</w:t>
      </w:r>
    </w:p>
    <w:p w:rsidR="00EF59E3" w:rsidRDefault="001557C4">
      <w:pPr>
        <w:ind w:firstLine="720"/>
        <w:jc w:val="both"/>
      </w:pPr>
      <w:r>
        <w:t>для организаций,  производящих   и   реализующих   подакцизные товары,  за  исключением  товаров из давальческого сырья,  а также используемых для производства товаров,  не облагаемых акцизами,  - стоимость  подакцизных товаров,  определяемая исходя из отпускных цен, включающих акциз по установленным ставкам; для организаций,    производящих    подакцизные    товары   из давальческого сырья,  - стоимость этих товаров, определяемая исходя из  применяемых  в данной организации максимальных отпускных цен с учетом акциза  по  установленным  ставкам  на  аналогичные  товары собственного  производства  на момент передачи готовых товаров,  а при их отсутствии - исходя из рыночных цен,  сложившихся в  данном регионе на аналогичные товары в предыдущем отчетном периоде; для организаций, производящих подакцизные товары, используемые для  производства товаров,  не облагаемых акцизами,  - фактическая себестоимость с учетом акцизов;</w:t>
      </w:r>
    </w:p>
    <w:p w:rsidR="00EF59E3" w:rsidRDefault="001557C4">
      <w:pPr>
        <w:ind w:firstLine="720"/>
        <w:jc w:val="both"/>
      </w:pPr>
      <w:r>
        <w:t>б) по товарам, производимым за пределами территории Российской Федерации из  давальческого  сырья,  принадлежащего  организациям, подлежащим  регистрации в качестве налогоплательщиков в Российской Федерации и  оплатившим  стоимость  работы  по  изготовлению  этих товаров, - стоимость реализуемых подакцизных товаров, определяемая исходя  из  отпускных  цен,  включающих  ^акциз ^ по   установленным ставкам;</w:t>
      </w:r>
    </w:p>
    <w:p w:rsidR="00EF59E3" w:rsidRDefault="001557C4">
      <w:pPr>
        <w:ind w:firstLine="720"/>
        <w:jc w:val="both"/>
      </w:pPr>
      <w:r>
        <w:t>в) по  подакцизным  видам  минерального  сырья,   на   которые установлены  твердые  (специфические) ставки акцизов (в абсолютной сумме на единицу обложения), - объем добытых подакцизных товаров в натуральном выражении.</w:t>
      </w:r>
    </w:p>
    <w:p w:rsidR="00EF59E3" w:rsidRDefault="001557C4">
      <w:pPr>
        <w:ind w:firstLine="720"/>
        <w:jc w:val="both"/>
      </w:pPr>
      <w:r>
        <w:t>2. По товарам,  ввозимым на территорию  Российской  Федерации, объект  налогообложения  определяется  в соответствии с таможенным законодательством   Российской   Федерации.    При    установлении специфических  ставок  акцизов  объектом  налогообложения является объем ввозимых подакцизных товаров в натуральном выражении.</w:t>
      </w:r>
    </w:p>
    <w:p w:rsidR="00EF59E3" w:rsidRDefault="001557C4">
      <w:pPr>
        <w:ind w:firstLine="720"/>
        <w:jc w:val="both"/>
      </w:pPr>
      <w:r>
        <w:t>3. При   натуральной   оплате   труда   подакцизными  товарами собственного производства,  при  обмене  с  участием  подакцизных товаров,  при  их передаче безвозмездно или по ценам ниже рыночных объектом налогообложения является стоимость  подакцизных  товаров, определяемая  исходя из максимальных отпускных цен с учетом акциза по  установленным  ставкам  на  аналогичные  товары   собственного производства   на  момент  передачи  готовых  товаров,  а  при  их отсутствии - исходя из рыночных цен,  сложившихся в данном регионе на аналогичные товары в предыдущем отчетном периоде.</w:t>
      </w:r>
    </w:p>
    <w:p w:rsidR="00EF59E3" w:rsidRDefault="001557C4">
      <w:pPr>
        <w:ind w:firstLine="720"/>
        <w:jc w:val="both"/>
      </w:pPr>
      <w:r>
        <w:t>Акцизы уплачиваются также с сумм денежных средств,  получаемых организациями за производимые и реализуемые ими подакцизные товары в  виде  финансовой   помощи,   пополнения   фондов   специального назначения, а также со стоимости опциона.</w:t>
      </w:r>
    </w:p>
    <w:p w:rsidR="00EF59E3" w:rsidRDefault="001557C4">
      <w:pPr>
        <w:ind w:firstLine="720"/>
        <w:jc w:val="both"/>
      </w:pPr>
      <w:r>
        <w:t>4. акцизы не уплачиваются по подакцизным товарам, вывозимым за пределы    территории   Российской   Федерации   (за   исключением подакцизных  товаров,  вывозимых   в   государства   -   участники Содружества Независимых Государств, подакцизных видов минерального сырья,  а  также  подакцизных   товаров,   вывозимых   в   порядке товарообмена).</w:t>
      </w:r>
    </w:p>
    <w:p w:rsidR="00EF59E3" w:rsidRDefault="00EF59E3">
      <w:pPr>
        <w:ind w:firstLine="720"/>
        <w:jc w:val="both"/>
      </w:pPr>
    </w:p>
    <w:p w:rsidR="00EF59E3" w:rsidRDefault="001557C4">
      <w:pPr>
        <w:ind w:firstLine="720"/>
        <w:jc w:val="both"/>
        <w:rPr>
          <w:u w:val="single"/>
        </w:rPr>
      </w:pPr>
      <w:r>
        <w:rPr>
          <w:u w:val="single"/>
        </w:rPr>
        <w:t>Ставки акцизов:</w:t>
      </w:r>
    </w:p>
    <w:p w:rsidR="00EF59E3" w:rsidRDefault="001557C4">
      <w:pPr>
        <w:ind w:firstLine="720"/>
        <w:jc w:val="both"/>
      </w:pPr>
      <w:r>
        <w:t>1. Ставки  акцизов  по  подакцизным  товарам  (за  исключением подакцизных видов минерального сырья),  производимым на территории Российской   Федерации,   являются   едиными  на  всей  территории Российской Федерации.</w:t>
      </w:r>
    </w:p>
    <w:p w:rsidR="00EF59E3" w:rsidRDefault="001557C4">
      <w:pPr>
        <w:ind w:firstLine="720"/>
        <w:jc w:val="both"/>
      </w:pPr>
      <w:r>
        <w:t>Ставки акцизов по подакцизным товарам,  ввозимым на территорию Российской Федерации,  устанавливаются с учетом обеспечения защиты отечественных    производителя    и   потребителя   и   сохранения конкурентоспособности отечественных товаров и являются едиными  на всей территории Российской Федерации.</w:t>
      </w:r>
    </w:p>
    <w:p w:rsidR="00EF59E3" w:rsidRDefault="001557C4">
      <w:pPr>
        <w:ind w:firstLine="720"/>
        <w:jc w:val="both"/>
      </w:pPr>
      <w:r>
        <w:t>2. Ставки   авансового  платежа  в  форме  приобретения  марок акцизного   сбора   по   отдельным   видам   подакцизных   товаров утверждаются Правительством Российской Федерации.</w:t>
      </w:r>
    </w:p>
    <w:p w:rsidR="00EF59E3" w:rsidRDefault="001557C4">
      <w:pPr>
        <w:ind w:firstLine="720"/>
        <w:jc w:val="both"/>
      </w:pPr>
      <w:r>
        <w:t>3. Ставки акцизов  по  подакцизным  видам  минерального  сырья утверждаются Правительством Российской Федерации дифференцированно для    отдельных    месторождений в зависимости от их горно-геологических и экономико-географических условий.</w:t>
      </w:r>
    </w:p>
    <w:p w:rsidR="00EF59E3" w:rsidRDefault="00EF59E3">
      <w:pPr>
        <w:ind w:firstLine="720"/>
        <w:jc w:val="both"/>
      </w:pPr>
    </w:p>
    <w:p w:rsidR="00EF59E3" w:rsidRDefault="001557C4">
      <w:pPr>
        <w:ind w:firstLine="720"/>
        <w:jc w:val="both"/>
      </w:pPr>
      <w:r>
        <w:rPr>
          <w:u w:val="single"/>
        </w:rPr>
        <w:t>Порядок  исчисления и уплаты акцизов:</w:t>
      </w:r>
    </w:p>
    <w:p w:rsidR="00EF59E3" w:rsidRDefault="001557C4">
      <w:pPr>
        <w:ind w:firstLine="720"/>
        <w:jc w:val="both"/>
      </w:pPr>
      <w:r>
        <w:t>1. Сумма акциза определяется плательщиками самостоятельно. При этом в расчетных документах на  подакцизные  товары  сумма  акциза указывается отдельной строкой.</w:t>
      </w:r>
    </w:p>
    <w:p w:rsidR="00EF59E3" w:rsidRDefault="001557C4">
      <w:pPr>
        <w:ind w:firstLine="720"/>
        <w:jc w:val="both"/>
      </w:pPr>
      <w:r>
        <w:t>В случае использования в качестве сырья, включая давальческое, подакцизных товаров (за исключением подакцизных видов минерального сырья,  по которым на  территории  Российской  Федерации  уже  был уплачен  ^акциз)^  сумма  акциза,  подлежащего  уплате  по  готовому подакцизному товару,  уменьшается на сумму акциза,  уплаченного по сырью, использованному для его производства.</w:t>
      </w:r>
    </w:p>
    <w:p w:rsidR="00EF59E3" w:rsidRDefault="001557C4">
      <w:pPr>
        <w:ind w:firstLine="720"/>
        <w:jc w:val="both"/>
      </w:pPr>
      <w:r>
        <w:t>Сумма акциза,   уплаченная   по   товарам   (за    исключением подакцизных видов минерального сырья), использованным в дальнейшем в  качестве  сырья  для  производства  товаров,  освобожденных  от обложения  данным видом налога,  а  также  по  спирту  этиловому, вырабатываемому  из всех видов сырья,  за исключением пищевого,  в дальнейшем  использованному  в  качестве  сырья  для  производства товаров,  не облагаемых акцизами, на себестоимость этих товаров не относится,  а  засчитывается  в  счет  предстоящих  платежей   или возмещается за счет общих поступлений налогов в десятидневный срок со дня получения расчета за соответствующий отчетный  период.  При этом  зачету  (возмещению)  подлежит сумма акциза по этим товарам, стоимость которых фактически отнесена (списана) в отчетном периоде на себестоимость.</w:t>
      </w:r>
    </w:p>
    <w:p w:rsidR="00EF59E3" w:rsidRDefault="001557C4">
      <w:pPr>
        <w:ind w:firstLine="720"/>
        <w:jc w:val="both"/>
      </w:pPr>
      <w:r>
        <w:t>По подакцизным  товарам,   не   реализуемым   на   сторону   и используемым организацией для производства товаров,  не облагаемых акцизами,  начисление  сумм  акцизов  по  соответствующим  ставкам производится  в  момент  передачи  в производство этих товаров для изготовления неподакцизных товаров  отнесением  суммы  акцизов  на себестоимость неподакцизной продукции.</w:t>
      </w:r>
    </w:p>
    <w:p w:rsidR="00EF59E3" w:rsidRDefault="001557C4">
      <w:pPr>
        <w:ind w:firstLine="720"/>
        <w:jc w:val="both"/>
      </w:pPr>
      <w:r>
        <w:t>2. Организации,  производящие и реализующие спирт этиловый  из всех   видов   сырья,   спирт   питьевой,   спирт  винный,  водку, ликероводочные изделия,  коньяк,  шампанское (вино игристое), вино натуральное и другие алкогольные напитки, а также производящие эти товары из давальческого  сырья,  уплачивают  в  бюджет  акцизы  на третий день после дня совершения реализации, исходя из фактических оборотов.</w:t>
      </w:r>
    </w:p>
    <w:p w:rsidR="00EF59E3" w:rsidRDefault="001557C4">
      <w:pPr>
        <w:ind w:firstLine="720"/>
        <w:jc w:val="both"/>
      </w:pPr>
      <w:r>
        <w:t>Организации, добывающие подакцизные виды минерального сырья, а также  организации,  производящие  и  реализующие   пиво,   бензин автомобильный,   легковые  автомобили,  включая  произведенные  из давальческого  сырья,  уплачивают  в  бюджет  акцизы,  исходя   из фактических оборотов, в следующие сроки:</w:t>
      </w:r>
    </w:p>
    <w:p w:rsidR="00EF59E3" w:rsidRDefault="001557C4">
      <w:pPr>
        <w:ind w:firstLine="720"/>
        <w:jc w:val="both"/>
      </w:pPr>
      <w:r>
        <w:t>15-го числа текущего месяца - за первую декаду;</w:t>
      </w:r>
    </w:p>
    <w:p w:rsidR="00EF59E3" w:rsidRDefault="001557C4">
      <w:pPr>
        <w:ind w:firstLine="720"/>
        <w:jc w:val="both"/>
      </w:pPr>
      <w:r>
        <w:t>25-го числа текущего месяца - за вторую декаду;</w:t>
      </w:r>
    </w:p>
    <w:p w:rsidR="00EF59E3" w:rsidRDefault="001557C4">
      <w:pPr>
        <w:ind w:firstLine="720"/>
        <w:jc w:val="both"/>
      </w:pPr>
      <w:r>
        <w:t>5-го числа следующего за отчетным месяцем -  за  остальные  дни отчетного месяца.</w:t>
      </w:r>
    </w:p>
    <w:p w:rsidR="00EF59E3" w:rsidRDefault="001557C4">
      <w:pPr>
        <w:ind w:firstLine="720"/>
        <w:jc w:val="both"/>
      </w:pPr>
      <w:r>
        <w:t>Все остальные   плательщики   уплачивают   в   бюджет   акцизы ежемесячно,  исходя  из фактических оборотов по реализации товаров за   истекший   календарный   месяц   (плательщики,   производящие подакцизные  товары,  используемые  для  производства товаров,  не облагаемых акцизами, - исходя из фактической себестоимости и суммы акцизов   по   установленным  ставкам),  до  20-го  числа  месяца, следующего за отчетным.</w:t>
      </w:r>
    </w:p>
    <w:p w:rsidR="00EF59E3" w:rsidRDefault="001557C4">
      <w:pPr>
        <w:ind w:firstLine="720"/>
        <w:jc w:val="both"/>
      </w:pPr>
      <w:r>
        <w:t>3. По  товарам,  подлежащим  обязательной  маркировке  марками акцизного  сбора  установленного   образца,   плательщики   вносят авансовый   платеж   в   размере,   установленном   Правительством Российской  Федерации.   При   этом   сумма   авансового   платежа засчитывается    при    окончательном    расчете   суммы   акциза, определяемого исходя из облагаемого оборота.</w:t>
      </w:r>
    </w:p>
    <w:p w:rsidR="00EF59E3" w:rsidRDefault="001557C4">
      <w:pPr>
        <w:ind w:firstLine="720"/>
        <w:jc w:val="both"/>
      </w:pPr>
      <w:r>
        <w:t>4. Плательщики  представляют налоговым органам по месту своего нахождения налоговый расчет (декларацию) по установленной форме до 20-го числа месяца, следующего за отчетным.</w:t>
      </w:r>
    </w:p>
    <w:p w:rsidR="00EF59E3" w:rsidRDefault="001557C4">
      <w:pPr>
        <w:ind w:firstLine="720"/>
        <w:jc w:val="both"/>
      </w:pPr>
      <w:r>
        <w:t>5. Датой совершения оборота считается день поступления средств за подакцизные товары на счета в банках,  а при расчетах наличными деньгами - день поступления выручки  в  кассу.  В  случаях,  когда реализация  определяется по отгруженным товарам,  датой совершения оборота считается день  их  отгрузки  и  предъявления  покупателям</w:t>
      </w:r>
    </w:p>
    <w:p w:rsidR="00EF59E3" w:rsidRDefault="001557C4">
      <w:pPr>
        <w:ind w:firstLine="720"/>
        <w:jc w:val="both"/>
      </w:pPr>
      <w:r>
        <w:t>расчетных документов.</w:t>
      </w:r>
    </w:p>
    <w:p w:rsidR="00EF59E3" w:rsidRDefault="001557C4">
      <w:pPr>
        <w:ind w:firstLine="720"/>
        <w:jc w:val="both"/>
      </w:pPr>
      <w:r>
        <w:t>При натуральной    оплате    труда    подакцизными    товарами собственного  производства  и  при их безвозмездной передаче датой совершения оборота является день их передачи.</w:t>
      </w:r>
    </w:p>
    <w:p w:rsidR="00EF59E3" w:rsidRDefault="001557C4">
      <w:pPr>
        <w:ind w:firstLine="720"/>
        <w:jc w:val="both"/>
      </w:pPr>
      <w:r>
        <w:t>6. Акцизы  зачисляются  в  бюджеты  соответствующих  уровней в порядке и  на  условиях,  устанавливаемых  федеральным  законом  о федеральном бюджете на соответствующий финансовый год.</w:t>
      </w:r>
    </w:p>
    <w:p w:rsidR="00EF59E3" w:rsidRDefault="001557C4">
      <w:pPr>
        <w:ind w:firstLine="720"/>
        <w:jc w:val="both"/>
      </w:pPr>
      <w:r>
        <w:t>7. Порядок исчисления и уплаты акцизов по товарам, ввозимым на территорию   Российской   Федерации,   устанавливается Федеральным  законом  и  таможенным  законодательством  Российской Федерации.</w:t>
      </w:r>
    </w:p>
    <w:p w:rsidR="00EF59E3" w:rsidRDefault="001557C4">
      <w:pPr>
        <w:ind w:firstLine="720"/>
        <w:jc w:val="both"/>
      </w:pPr>
      <w:r>
        <w:t>Сумма акциза,  подлежащего  уплате  по  подакцизным   товарам, происходящим  и  ввозимым  с  территории  государств  - участников Содружества Независимых Государств,  уменьшается на сумму  акциза, уплаченного в стране их происхождения.</w:t>
      </w:r>
    </w:p>
    <w:p w:rsidR="00EF59E3" w:rsidRDefault="00EF59E3">
      <w:pPr>
        <w:ind w:firstLine="720"/>
        <w:jc w:val="both"/>
      </w:pPr>
    </w:p>
    <w:p w:rsidR="00EF59E3" w:rsidRDefault="001557C4">
      <w:pPr>
        <w:jc w:val="both"/>
        <w:rPr>
          <w:b/>
          <w:bCs/>
          <w:i/>
          <w:iCs/>
        </w:rPr>
      </w:pPr>
      <w:r>
        <w:rPr>
          <w:b/>
          <w:bCs/>
          <w:u w:val="single"/>
        </w:rPr>
        <w:t>ЗАДАЧА:</w:t>
      </w:r>
      <w:r>
        <w:rPr>
          <w:b/>
          <w:bCs/>
          <w:i/>
          <w:iCs/>
        </w:rPr>
        <w:t xml:space="preserve"> В соответствии со справкой за август т.г. внесено авансовых платежей по налогу на прибыль 210 тыс.руб. Фактически налог на прибыль составил 180 тыс.руб. </w:t>
      </w:r>
    </w:p>
    <w:p w:rsidR="00EF59E3" w:rsidRDefault="001557C4">
      <w:pPr>
        <w:jc w:val="both"/>
        <w:rPr>
          <w:b/>
          <w:bCs/>
          <w:u w:val="single"/>
        </w:rPr>
      </w:pPr>
      <w:r>
        <w:rPr>
          <w:b/>
          <w:bCs/>
          <w:i/>
          <w:iCs/>
        </w:rPr>
        <w:t>Произвести перерасчет платежей по налогу на прибыль (ставка рефинансирования ЦБ РФ – 36% годовых).</w:t>
      </w:r>
    </w:p>
    <w:p w:rsidR="00EF59E3" w:rsidRDefault="00EF59E3">
      <w:pPr>
        <w:ind w:firstLine="720"/>
        <w:jc w:val="both"/>
      </w:pPr>
    </w:p>
    <w:p w:rsidR="00EF59E3" w:rsidRDefault="001557C4">
      <w:pPr>
        <w:jc w:val="both"/>
        <w:rPr>
          <w:i/>
          <w:iCs/>
          <w:caps/>
          <w:u w:val="single"/>
        </w:rPr>
      </w:pPr>
      <w:r>
        <w:rPr>
          <w:i/>
          <w:iCs/>
          <w:caps/>
          <w:u w:val="single"/>
        </w:rPr>
        <w:t>Решение:</w:t>
      </w:r>
    </w:p>
    <w:p w:rsidR="00EF59E3" w:rsidRDefault="00EF59E3">
      <w:pPr>
        <w:ind w:firstLine="720"/>
        <w:jc w:val="both"/>
      </w:pPr>
    </w:p>
    <w:p w:rsidR="00EF59E3" w:rsidRDefault="001557C4">
      <w:pPr>
        <w:numPr>
          <w:ilvl w:val="0"/>
          <w:numId w:val="6"/>
        </w:numPr>
        <w:tabs>
          <w:tab w:val="clear" w:pos="360"/>
          <w:tab w:val="num" w:pos="1080"/>
        </w:tabs>
        <w:ind w:left="1080"/>
        <w:jc w:val="both"/>
      </w:pPr>
      <w:r>
        <w:t>Переплата: 210000-180000=30000 руб.</w:t>
      </w:r>
    </w:p>
    <w:p w:rsidR="00EF59E3" w:rsidRDefault="00EF59E3">
      <w:pPr>
        <w:tabs>
          <w:tab w:val="num" w:pos="1080"/>
        </w:tabs>
        <w:ind w:left="1080" w:firstLine="720"/>
        <w:jc w:val="both"/>
      </w:pPr>
    </w:p>
    <w:p w:rsidR="00EF59E3" w:rsidRDefault="001557C4">
      <w:pPr>
        <w:numPr>
          <w:ilvl w:val="0"/>
          <w:numId w:val="6"/>
        </w:numPr>
        <w:tabs>
          <w:tab w:val="clear" w:pos="360"/>
          <w:tab w:val="num" w:pos="1080"/>
        </w:tabs>
        <w:ind w:left="1080"/>
        <w:jc w:val="both"/>
      </w:pPr>
      <w:r>
        <w:t>Ставка рефинансирования в пересчете на 1 месяц: (36%)/12=3%</w:t>
      </w:r>
    </w:p>
    <w:p w:rsidR="00EF59E3" w:rsidRDefault="00EF59E3">
      <w:pPr>
        <w:tabs>
          <w:tab w:val="num" w:pos="1080"/>
        </w:tabs>
        <w:ind w:left="1080" w:firstLine="720"/>
        <w:jc w:val="both"/>
      </w:pPr>
    </w:p>
    <w:p w:rsidR="00EF59E3" w:rsidRDefault="001557C4">
      <w:pPr>
        <w:numPr>
          <w:ilvl w:val="0"/>
          <w:numId w:val="6"/>
        </w:numPr>
        <w:tabs>
          <w:tab w:val="clear" w:pos="360"/>
          <w:tab w:val="num" w:pos="1080"/>
        </w:tabs>
        <w:ind w:left="1080"/>
        <w:jc w:val="both"/>
      </w:pPr>
      <w:r>
        <w:t>Плата банка за пользование кредитом предприятию: 30000*(3%)/100=900 руб.</w:t>
      </w:r>
    </w:p>
    <w:p w:rsidR="00EF59E3" w:rsidRDefault="00EF59E3">
      <w:pPr>
        <w:tabs>
          <w:tab w:val="num" w:pos="1080"/>
        </w:tabs>
        <w:ind w:left="1080" w:firstLine="720"/>
        <w:jc w:val="both"/>
      </w:pPr>
    </w:p>
    <w:p w:rsidR="00EF59E3" w:rsidRDefault="001557C4">
      <w:pPr>
        <w:numPr>
          <w:ilvl w:val="0"/>
          <w:numId w:val="6"/>
        </w:numPr>
        <w:tabs>
          <w:tab w:val="clear" w:pos="360"/>
          <w:tab w:val="num" w:pos="1080"/>
        </w:tabs>
        <w:ind w:left="1080"/>
        <w:jc w:val="both"/>
      </w:pPr>
      <w:r>
        <w:t>Перерасчет платежей за август по налогу на прибыль: 180000-900=179100 руб.</w:t>
      </w:r>
    </w:p>
    <w:p w:rsidR="00EF59E3" w:rsidRDefault="00EF59E3">
      <w:pPr>
        <w:tabs>
          <w:tab w:val="num" w:pos="1080"/>
        </w:tabs>
        <w:ind w:left="1080" w:firstLine="720"/>
        <w:jc w:val="both"/>
      </w:pPr>
    </w:p>
    <w:p w:rsidR="00EF59E3" w:rsidRDefault="001557C4">
      <w:pPr>
        <w:numPr>
          <w:ilvl w:val="0"/>
          <w:numId w:val="6"/>
        </w:numPr>
        <w:tabs>
          <w:tab w:val="clear" w:pos="360"/>
          <w:tab w:val="num" w:pos="1080"/>
        </w:tabs>
        <w:ind w:left="1080"/>
        <w:jc w:val="both"/>
      </w:pPr>
      <w:r>
        <w:t>Проводки:</w:t>
      </w:r>
    </w:p>
    <w:tbl>
      <w:tblPr>
        <w:tblW w:w="0" w:type="auto"/>
        <w:jc w:val="center"/>
        <w:tblLayout w:type="fixed"/>
        <w:tblLook w:val="0000" w:firstRow="0" w:lastRow="0" w:firstColumn="0" w:lastColumn="0" w:noHBand="0" w:noVBand="0"/>
      </w:tblPr>
      <w:tblGrid>
        <w:gridCol w:w="2960"/>
        <w:gridCol w:w="2960"/>
        <w:gridCol w:w="3650"/>
      </w:tblGrid>
      <w:tr w:rsidR="00EF59E3">
        <w:trPr>
          <w:jc w:val="center"/>
        </w:trPr>
        <w:tc>
          <w:tcPr>
            <w:tcW w:w="2960" w:type="dxa"/>
            <w:tcBorders>
              <w:top w:val="nil"/>
              <w:left w:val="nil"/>
              <w:bottom w:val="nil"/>
              <w:right w:val="nil"/>
            </w:tcBorders>
          </w:tcPr>
          <w:p w:rsidR="00EF59E3" w:rsidRDefault="001557C4">
            <w:pPr>
              <w:jc w:val="center"/>
            </w:pPr>
            <w:r>
              <w:t>Дт</w:t>
            </w:r>
          </w:p>
        </w:tc>
        <w:tc>
          <w:tcPr>
            <w:tcW w:w="2960" w:type="dxa"/>
            <w:tcBorders>
              <w:top w:val="nil"/>
              <w:left w:val="nil"/>
              <w:bottom w:val="nil"/>
              <w:right w:val="nil"/>
            </w:tcBorders>
          </w:tcPr>
          <w:p w:rsidR="00EF59E3" w:rsidRDefault="001557C4">
            <w:pPr>
              <w:jc w:val="center"/>
            </w:pPr>
            <w:r>
              <w:t>Кт</w:t>
            </w:r>
          </w:p>
        </w:tc>
        <w:tc>
          <w:tcPr>
            <w:tcW w:w="3650" w:type="dxa"/>
            <w:tcBorders>
              <w:top w:val="nil"/>
              <w:left w:val="nil"/>
              <w:bottom w:val="nil"/>
              <w:right w:val="nil"/>
            </w:tcBorders>
          </w:tcPr>
          <w:p w:rsidR="00EF59E3" w:rsidRDefault="00EF59E3"/>
        </w:tc>
      </w:tr>
      <w:tr w:rsidR="00EF59E3">
        <w:trPr>
          <w:jc w:val="center"/>
        </w:trPr>
        <w:tc>
          <w:tcPr>
            <w:tcW w:w="2960" w:type="dxa"/>
            <w:tcBorders>
              <w:top w:val="nil"/>
              <w:left w:val="nil"/>
              <w:bottom w:val="nil"/>
              <w:right w:val="nil"/>
            </w:tcBorders>
          </w:tcPr>
          <w:p w:rsidR="00EF59E3" w:rsidRDefault="001557C4">
            <w:pPr>
              <w:jc w:val="center"/>
            </w:pPr>
            <w:r>
              <w:t>81</w:t>
            </w:r>
          </w:p>
        </w:tc>
        <w:tc>
          <w:tcPr>
            <w:tcW w:w="2960" w:type="dxa"/>
            <w:tcBorders>
              <w:top w:val="nil"/>
              <w:left w:val="nil"/>
              <w:bottom w:val="nil"/>
              <w:right w:val="nil"/>
            </w:tcBorders>
          </w:tcPr>
          <w:p w:rsidR="00EF59E3" w:rsidRDefault="001557C4">
            <w:pPr>
              <w:jc w:val="center"/>
            </w:pPr>
            <w:r>
              <w:t>68</w:t>
            </w:r>
          </w:p>
        </w:tc>
        <w:tc>
          <w:tcPr>
            <w:tcW w:w="3650" w:type="dxa"/>
            <w:tcBorders>
              <w:top w:val="nil"/>
              <w:left w:val="nil"/>
              <w:bottom w:val="nil"/>
              <w:right w:val="nil"/>
            </w:tcBorders>
          </w:tcPr>
          <w:p w:rsidR="00EF59E3" w:rsidRDefault="001557C4">
            <w:r>
              <w:t>180000руб – начислено</w:t>
            </w:r>
          </w:p>
        </w:tc>
      </w:tr>
      <w:tr w:rsidR="00EF59E3">
        <w:trPr>
          <w:jc w:val="center"/>
        </w:trPr>
        <w:tc>
          <w:tcPr>
            <w:tcW w:w="2960" w:type="dxa"/>
            <w:tcBorders>
              <w:top w:val="nil"/>
              <w:left w:val="nil"/>
              <w:bottom w:val="nil"/>
              <w:right w:val="nil"/>
            </w:tcBorders>
          </w:tcPr>
          <w:p w:rsidR="00EF59E3" w:rsidRDefault="001557C4">
            <w:pPr>
              <w:jc w:val="center"/>
            </w:pPr>
            <w:r>
              <w:t>68</w:t>
            </w:r>
          </w:p>
        </w:tc>
        <w:tc>
          <w:tcPr>
            <w:tcW w:w="2960" w:type="dxa"/>
            <w:tcBorders>
              <w:top w:val="nil"/>
              <w:left w:val="nil"/>
              <w:bottom w:val="nil"/>
              <w:right w:val="nil"/>
            </w:tcBorders>
          </w:tcPr>
          <w:p w:rsidR="00EF59E3" w:rsidRDefault="001557C4">
            <w:pPr>
              <w:jc w:val="center"/>
            </w:pPr>
            <w:r>
              <w:t>51</w:t>
            </w:r>
          </w:p>
        </w:tc>
        <w:tc>
          <w:tcPr>
            <w:tcW w:w="3650" w:type="dxa"/>
            <w:tcBorders>
              <w:top w:val="nil"/>
              <w:left w:val="nil"/>
              <w:bottom w:val="nil"/>
              <w:right w:val="nil"/>
            </w:tcBorders>
          </w:tcPr>
          <w:p w:rsidR="00EF59E3" w:rsidRDefault="001557C4">
            <w:r>
              <w:t>210000 руб. – уплачено</w:t>
            </w:r>
          </w:p>
        </w:tc>
      </w:tr>
      <w:tr w:rsidR="00EF59E3">
        <w:trPr>
          <w:jc w:val="center"/>
        </w:trPr>
        <w:tc>
          <w:tcPr>
            <w:tcW w:w="2960" w:type="dxa"/>
            <w:tcBorders>
              <w:top w:val="nil"/>
              <w:left w:val="nil"/>
              <w:bottom w:val="nil"/>
              <w:right w:val="nil"/>
            </w:tcBorders>
          </w:tcPr>
          <w:p w:rsidR="00EF59E3" w:rsidRDefault="001557C4">
            <w:pPr>
              <w:jc w:val="center"/>
            </w:pPr>
            <w:r>
              <w:t>68</w:t>
            </w:r>
          </w:p>
        </w:tc>
        <w:tc>
          <w:tcPr>
            <w:tcW w:w="2960" w:type="dxa"/>
            <w:tcBorders>
              <w:top w:val="nil"/>
              <w:left w:val="nil"/>
              <w:bottom w:val="nil"/>
              <w:right w:val="nil"/>
            </w:tcBorders>
          </w:tcPr>
          <w:p w:rsidR="00EF59E3" w:rsidRDefault="001557C4">
            <w:pPr>
              <w:jc w:val="center"/>
            </w:pPr>
            <w:r>
              <w:t>80</w:t>
            </w:r>
          </w:p>
        </w:tc>
        <w:tc>
          <w:tcPr>
            <w:tcW w:w="3650" w:type="dxa"/>
            <w:tcBorders>
              <w:top w:val="nil"/>
              <w:left w:val="nil"/>
              <w:bottom w:val="nil"/>
              <w:right w:val="nil"/>
            </w:tcBorders>
          </w:tcPr>
          <w:p w:rsidR="00EF59E3" w:rsidRDefault="001557C4">
            <w:r>
              <w:t>900 руб. - %банковский кредит</w:t>
            </w:r>
          </w:p>
        </w:tc>
      </w:tr>
    </w:tbl>
    <w:p w:rsidR="00EF59E3" w:rsidRDefault="00EF59E3">
      <w:pPr>
        <w:ind w:firstLine="720"/>
        <w:jc w:val="both"/>
      </w:pPr>
    </w:p>
    <w:p w:rsidR="00EF59E3" w:rsidRDefault="001557C4">
      <w:pPr>
        <w:pStyle w:val="3"/>
        <w:ind w:firstLine="0"/>
        <w:jc w:val="center"/>
        <w:rPr>
          <w:caps/>
          <w:u w:val="single"/>
        </w:rPr>
      </w:pPr>
      <w:r>
        <w:rPr>
          <w:caps/>
          <w:u w:val="single"/>
        </w:rPr>
        <w:t>Использованные источники:</w:t>
      </w:r>
    </w:p>
    <w:p w:rsidR="00EF59E3" w:rsidRDefault="001557C4">
      <w:pPr>
        <w:numPr>
          <w:ilvl w:val="0"/>
          <w:numId w:val="7"/>
        </w:numPr>
        <w:jc w:val="both"/>
      </w:pPr>
      <w:r>
        <w:t>Налоги. Под ред.Черник Д.Г. 3-е изд. М.: Финансы и статистика, 1998, 680с</w:t>
      </w:r>
    </w:p>
    <w:p w:rsidR="00EF59E3" w:rsidRDefault="001557C4">
      <w:pPr>
        <w:numPr>
          <w:ilvl w:val="0"/>
          <w:numId w:val="7"/>
        </w:numPr>
        <w:jc w:val="both"/>
      </w:pPr>
      <w:r>
        <w:t>Энциклопедия Российского права. СПС (март 1999)</w:t>
      </w:r>
      <w:bookmarkStart w:id="0" w:name="_GoBack"/>
      <w:bookmarkEnd w:id="0"/>
    </w:p>
    <w:sectPr w:rsidR="00EF59E3">
      <w:type w:val="nextColumn"/>
      <w:pgSz w:w="11906" w:h="16838"/>
      <w:pgMar w:top="1134" w:right="1134"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9E3" w:rsidRDefault="001557C4">
      <w:r>
        <w:separator/>
      </w:r>
    </w:p>
  </w:endnote>
  <w:endnote w:type="continuationSeparator" w:id="0">
    <w:p w:rsidR="00EF59E3" w:rsidRDefault="0015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9E3" w:rsidRDefault="001557C4">
      <w:r>
        <w:separator/>
      </w:r>
    </w:p>
  </w:footnote>
  <w:footnote w:type="continuationSeparator" w:id="0">
    <w:p w:rsidR="00EF59E3" w:rsidRDefault="00155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E3" w:rsidRDefault="00EF59E3">
    <w:pPr>
      <w:pStyle w:val="a3"/>
      <w:framePr w:wrap="auto" w:vAnchor="text" w:hAnchor="margin" w:xAlign="center" w:y="1"/>
      <w:rPr>
        <w:rStyle w:val="a5"/>
      </w:rPr>
    </w:pPr>
  </w:p>
  <w:p w:rsidR="00EF59E3" w:rsidRDefault="00EF59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F1064"/>
    <w:multiLevelType w:val="singleLevel"/>
    <w:tmpl w:val="0419000F"/>
    <w:lvl w:ilvl="0">
      <w:start w:val="1"/>
      <w:numFmt w:val="decimal"/>
      <w:lvlText w:val="%1."/>
      <w:lvlJc w:val="left"/>
      <w:pPr>
        <w:tabs>
          <w:tab w:val="num" w:pos="360"/>
        </w:tabs>
        <w:ind w:left="360" w:hanging="360"/>
      </w:pPr>
    </w:lvl>
  </w:abstractNum>
  <w:abstractNum w:abstractNumId="1">
    <w:nsid w:val="11563DBA"/>
    <w:multiLevelType w:val="singleLevel"/>
    <w:tmpl w:val="0419000F"/>
    <w:lvl w:ilvl="0">
      <w:start w:val="1"/>
      <w:numFmt w:val="decimal"/>
      <w:lvlText w:val="%1."/>
      <w:lvlJc w:val="left"/>
      <w:pPr>
        <w:tabs>
          <w:tab w:val="num" w:pos="360"/>
        </w:tabs>
        <w:ind w:left="360" w:hanging="360"/>
      </w:pPr>
    </w:lvl>
  </w:abstractNum>
  <w:abstractNum w:abstractNumId="2">
    <w:nsid w:val="27884E9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5C172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68C67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26436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5D83D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7C4"/>
    <w:rsid w:val="001557C4"/>
    <w:rsid w:val="00A06C7D"/>
    <w:rsid w:val="00EF59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98AEB3-46E3-4EBB-9C57-733DCF28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5">
    <w:name w:val="heading 5"/>
    <w:basedOn w:val="a"/>
    <w:next w:val="a"/>
    <w:link w:val="50"/>
    <w:uiPriority w:val="99"/>
    <w:qFormat/>
    <w:pPr>
      <w:spacing w:before="240" w:after="60"/>
      <w:ind w:firstLine="567"/>
      <w:jc w:val="both"/>
      <w:outlineLvl w:val="4"/>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Pr>
      <w:b/>
      <w:bCs/>
      <w:i/>
      <w:iCs/>
      <w:sz w:val="26"/>
      <w:szCs w:val="26"/>
      <w:lang w:val="ru-RU" w:eastAsia="ru-RU"/>
    </w:rPr>
  </w:style>
  <w:style w:type="paragraph" w:styleId="2">
    <w:name w:val="Body Text 2"/>
    <w:basedOn w:val="a"/>
    <w:link w:val="20"/>
    <w:uiPriority w:val="99"/>
    <w:pPr>
      <w:ind w:firstLine="720"/>
      <w:jc w:val="both"/>
    </w:pPr>
    <w:rPr>
      <w:u w:val="single"/>
    </w:rPr>
  </w:style>
  <w:style w:type="character" w:customStyle="1" w:styleId="20">
    <w:name w:val="Основной текст 2 Знак"/>
    <w:basedOn w:val="a0"/>
    <w:link w:val="2"/>
    <w:uiPriority w:val="99"/>
    <w:semiHidden/>
    <w:rPr>
      <w:rFonts w:ascii="Times New Roman" w:hAnsi="Times New Roman" w:cs="Times New Roman"/>
      <w:sz w:val="24"/>
      <w:szCs w:val="24"/>
      <w:lang w:val="ru-RU" w:eastAsia="ru-RU"/>
    </w:rPr>
  </w:style>
  <w:style w:type="paragraph" w:styleId="21">
    <w:name w:val="Body Text Indent 2"/>
    <w:basedOn w:val="a"/>
    <w:link w:val="22"/>
    <w:uiPriority w:val="99"/>
    <w:pPr>
      <w:ind w:left="360"/>
    </w:pPr>
  </w:style>
  <w:style w:type="character" w:customStyle="1" w:styleId="22">
    <w:name w:val="Основной текст с отступом 2 Знак"/>
    <w:basedOn w:val="a0"/>
    <w:link w:val="21"/>
    <w:uiPriority w:val="99"/>
    <w:semiHidden/>
    <w:rPr>
      <w:rFonts w:ascii="Times New Roman" w:hAnsi="Times New Roman" w:cs="Times New Roman"/>
      <w:sz w:val="24"/>
      <w:szCs w:val="24"/>
      <w:lang w:val="ru-RU" w:eastAsia="ru-RU"/>
    </w:rPr>
  </w:style>
  <w:style w:type="paragraph" w:styleId="3">
    <w:name w:val="Body Text Indent 3"/>
    <w:basedOn w:val="a"/>
    <w:link w:val="30"/>
    <w:uiPriority w:val="99"/>
    <w:pPr>
      <w:ind w:firstLine="720"/>
      <w:jc w:val="both"/>
    </w:p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lang w:val="ru-RU" w:eastAsia="ru-RU"/>
    </w:rPr>
  </w:style>
  <w:style w:type="paragraph" w:styleId="a3">
    <w:name w:val="header"/>
    <w:basedOn w:val="a"/>
    <w:link w:val="a4"/>
    <w:uiPriority w:val="99"/>
    <w:pPr>
      <w:tabs>
        <w:tab w:val="center" w:pos="4153"/>
        <w:tab w:val="right" w:pos="8306"/>
      </w:tabs>
    </w:pPr>
    <w:rPr>
      <w:sz w:val="20"/>
      <w:szCs w:val="20"/>
    </w:rPr>
  </w:style>
  <w:style w:type="character" w:customStyle="1" w:styleId="a4">
    <w:name w:val="Верхний колонтитул Знак"/>
    <w:basedOn w:val="a0"/>
    <w:link w:val="a3"/>
    <w:uiPriority w:val="99"/>
    <w:semiHidden/>
    <w:rPr>
      <w:rFonts w:ascii="Times New Roman" w:hAnsi="Times New Roman" w:cs="Times New Roman"/>
      <w:sz w:val="24"/>
      <w:szCs w:val="24"/>
      <w:lang w:val="ru-RU" w:eastAsia="ru-RU"/>
    </w:rPr>
  </w:style>
  <w:style w:type="character" w:styleId="a5">
    <w:name w:val="page number"/>
    <w:basedOn w:val="a0"/>
    <w:uiPriority w:val="99"/>
  </w:style>
  <w:style w:type="paragraph" w:styleId="a6">
    <w:name w:val="Body Text"/>
    <w:basedOn w:val="a"/>
    <w:link w:val="a7"/>
    <w:uiPriority w:val="99"/>
    <w:rPr>
      <w:b/>
      <w:bCs/>
      <w:sz w:val="32"/>
      <w:szCs w:val="32"/>
    </w:rPr>
  </w:style>
  <w:style w:type="character" w:customStyle="1" w:styleId="a7">
    <w:name w:val="Основной текст Знак"/>
    <w:basedOn w:val="a0"/>
    <w:link w:val="a6"/>
    <w:uiPriority w:val="99"/>
    <w:semiHidden/>
    <w:rPr>
      <w:rFonts w:ascii="Times New Roman" w:hAnsi="Times New Roman" w:cs="Times New Roman"/>
      <w:sz w:val="24"/>
      <w:szCs w:val="24"/>
      <w:lang w:val="ru-RU" w:eastAsia="ru-RU"/>
    </w:rPr>
  </w:style>
  <w:style w:type="paragraph" w:customStyle="1" w:styleId="a8">
    <w:name w:val="Назв. табл."/>
    <w:basedOn w:val="a"/>
    <w:next w:val="a"/>
    <w:uiPriority w:val="99"/>
    <w:pPr>
      <w:keepNext/>
      <w:keepLines/>
      <w:spacing w:after="120" w:line="340" w:lineRule="atLeast"/>
      <w:jc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21844</Words>
  <Characters>12452</Characters>
  <Application>Microsoft Office Word</Application>
  <DocSecurity>0</DocSecurity>
  <Lines>103</Lines>
  <Paragraphs>68</Paragraphs>
  <ScaleCrop>false</ScaleCrop>
  <Company> </Company>
  <LinksUpToDate>false</LinksUpToDate>
  <CharactersWithSpaces>34228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Плательщиками налога на доход в соответствии с настоящим  Законом являются:</dc:title>
  <dc:subject/>
  <dc:creator>Владимир Волобуев</dc:creator>
  <cp:keywords/>
  <dc:description/>
  <cp:lastModifiedBy>admin</cp:lastModifiedBy>
  <cp:revision>2</cp:revision>
  <cp:lastPrinted>2000-11-29T17:19:00Z</cp:lastPrinted>
  <dcterms:created xsi:type="dcterms:W3CDTF">2014-01-27T14:09:00Z</dcterms:created>
  <dcterms:modified xsi:type="dcterms:W3CDTF">2014-01-27T14:09:00Z</dcterms:modified>
</cp:coreProperties>
</file>