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F05" w:rsidRDefault="001C4834">
      <w:pPr>
        <w:pStyle w:val="Z16"/>
        <w:jc w:val="center"/>
      </w:pPr>
      <w:r>
        <w:t>Нападения крестноносцев на Русь</w:t>
      </w:r>
    </w:p>
    <w:p w:rsidR="00837F05" w:rsidRDefault="00837F05">
      <w:pPr>
        <w:pStyle w:val="Mystyle"/>
      </w:pPr>
    </w:p>
    <w:p w:rsidR="00837F05" w:rsidRDefault="001C4834">
      <w:pPr>
        <w:pStyle w:val="Mystyle"/>
      </w:pPr>
      <w:r>
        <w:t>На первых порах эсты оказывали агрессорам стойкое сопротивление, особенно успешное благодаря постоянной помощи русских. Быстро подоспевавшая по Двине помощь воинов княжества полоцкого не раз создавала на пути захватчиков неодолимые препятствия, отбрасывала их, заставляла искать мира. Ярко описывает Генрих Латвийский кровопролитную борьбу, которую приходилось вести эстам в союзе с русскими против кре</w:t>
      </w:r>
      <w:r>
        <w:softHyphen/>
        <w:t>стоносцев.</w:t>
      </w:r>
    </w:p>
    <w:p w:rsidR="00837F05" w:rsidRDefault="001C4834">
      <w:pPr>
        <w:pStyle w:val="Mystyle"/>
        <w:rPr>
          <w:snapToGrid w:val="0"/>
        </w:rPr>
      </w:pPr>
      <w:r>
        <w:rPr>
          <w:snapToGrid w:val="0"/>
        </w:rPr>
        <w:t>Стремясь нейтрализовать русских в начинавшейся новой войне крестоносцев с  эстами епископ Альберт заключил в 1210 г. “вечный мир” с Полоцком, обязавшись даже уплатой дани за ливов в пользу полоцкого князя (“короля”), на усло</w:t>
      </w:r>
      <w:r>
        <w:rPr>
          <w:snapToGrid w:val="0"/>
        </w:rPr>
        <w:softHyphen/>
        <w:t>виях свободной торговли между немцами и русскими. С дру</w:t>
      </w:r>
      <w:r>
        <w:rPr>
          <w:snapToGrid w:val="0"/>
        </w:rPr>
        <w:softHyphen/>
        <w:t>гой стороны, папская агентура стремилась привлечь на свою сторону неустойчивые элементы среди населения русских горо</w:t>
      </w:r>
      <w:r>
        <w:rPr>
          <w:snapToGrid w:val="0"/>
        </w:rPr>
        <w:softHyphen/>
        <w:t>дов. Известного успеха она добилась в Пскове. Ей удалось склонить на свою сторону князя Владимира Мстиславовича. В 1210 г. он вступил в союз с крестоносцами и повел совместно с ними предательскую войну против эстов, вразрез с исконно дружественными отношениями, существовавшими у псковичей, новгородцев и других русских с их нерусскими соседями на западе и севере. Политика псковского князя вызвала все</w:t>
      </w:r>
      <w:r>
        <w:rPr>
          <w:snapToGrid w:val="0"/>
        </w:rPr>
        <w:softHyphen/>
        <w:t>общее возмущение, и в феврале 1212 г. он был изгнан.</w:t>
      </w:r>
    </w:p>
    <w:p w:rsidR="00837F05" w:rsidRDefault="001C4834">
      <w:pPr>
        <w:pStyle w:val="Mystyle"/>
        <w:rPr>
          <w:snapToGrid w:val="0"/>
        </w:rPr>
      </w:pPr>
      <w:r>
        <w:rPr>
          <w:snapToGrid w:val="0"/>
        </w:rPr>
        <w:t>Псковичи же совместно с новгородцами во главе с князем Мстиславом двинулись на помощь эстам, чтобы остановить продвижение крестоносцев. Нанеся им, поражение и получив с них большой выкуп, русские вернулись в свои земли. Кровью скреплялось боевое содружество русских с прибалтами в борьбе против общего врага.</w:t>
      </w:r>
    </w:p>
    <w:p w:rsidR="00837F05" w:rsidRDefault="001C4834">
      <w:pPr>
        <w:pStyle w:val="Mystyle"/>
        <w:rPr>
          <w:snapToGrid w:val="0"/>
          <w:vertAlign w:val="superscript"/>
        </w:rPr>
      </w:pPr>
      <w:r>
        <w:rPr>
          <w:snapToGrid w:val="0"/>
        </w:rPr>
        <w:t>В этой связи интересно описание летописцем осады и взятия русской ратью с помощью эстов захваченной крестоносцами крепости Отепяа. 17 дней длилась осада. Из Риги на помощь запертым в крепости “тевтонам”, как называет немецких захватчиков Генрих Латвийский, было послано подкрепление, но его встре</w:t>
      </w:r>
      <w:r>
        <w:rPr>
          <w:snapToGrid w:val="0"/>
        </w:rPr>
        <w:softHyphen/>
        <w:t>тили русские войска и разбили. Погибли многие знатные военачальники. Когда остальные вошли в осаждённый замок, то вскоре “от множества людей и коней сделался голод в замке, недостаток съестного и сена, то стали объедать хвосты друг у друга”.  Через три дня после первого столкновения осажденные сдались и вынуждены были оставить захваченную ими крепость. Епископу Альберту пришлось отправить послов в Новгород к русским и в Саккалу к эстам “для утверждения мира”.</w:t>
      </w:r>
      <w:r>
        <w:rPr>
          <w:snapToGrid w:val="0"/>
          <w:vertAlign w:val="superscript"/>
        </w:rPr>
        <w:t xml:space="preserve"> </w:t>
      </w:r>
      <w:r>
        <w:rPr>
          <w:snapToGrid w:val="0"/>
        </w:rPr>
        <w:t xml:space="preserve"> В 1212 г. “тевтоны” вынуждены были заключить “вечный мир” с Владимиром, князем полоцким, на том условии, что русским купцам предоставляется свободный путь по Двине, за что князь отказался от получения дани, которую исстари ливонцы выплачивали Полоцку.</w:t>
      </w:r>
    </w:p>
    <w:p w:rsidR="00837F05" w:rsidRDefault="001C4834">
      <w:pPr>
        <w:pStyle w:val="Mystyle"/>
        <w:rPr>
          <w:snapToGrid w:val="0"/>
          <w:vertAlign w:val="superscript"/>
        </w:rPr>
      </w:pPr>
      <w:r>
        <w:rPr>
          <w:snapToGrid w:val="0"/>
        </w:rPr>
        <w:t>Получая все новые пополнения, направляемые по призыву папы из всех концов Европы, а особенно из Германии и скан</w:t>
      </w:r>
      <w:r>
        <w:rPr>
          <w:snapToGrid w:val="0"/>
        </w:rPr>
        <w:softHyphen/>
        <w:t>динавских стран, феодально-католические агрессоры проникали все дальше вглубь прибалтийских земель. Отчаянное сопро</w:t>
      </w:r>
      <w:r>
        <w:rPr>
          <w:snapToGrid w:val="0"/>
        </w:rPr>
        <w:softHyphen/>
        <w:t>тивление оказывало в неравной борьбе с хорошо вооруженными рыцарями местное население. Злодеяния крестоносцев с трудом поддаются описанию. “Толпы освященных убийц устремились в Лифляндию. Они купались в крови и возвращались затем с отпущением грехов и даже святыми домой или поселялись в разбойничьем вертепе попов”.</w:t>
      </w:r>
    </w:p>
    <w:p w:rsidR="00837F05" w:rsidRDefault="001C4834">
      <w:pPr>
        <w:pStyle w:val="Mystyle"/>
        <w:rPr>
          <w:snapToGrid w:val="0"/>
          <w:vertAlign w:val="superscript"/>
        </w:rPr>
      </w:pPr>
      <w:r>
        <w:rPr>
          <w:snapToGrid w:val="0"/>
        </w:rPr>
        <w:t>Даже участники этих истребительных грабительских войн, в которых проявилась и беспощадная жестокость средневеко</w:t>
      </w:r>
      <w:r>
        <w:rPr>
          <w:snapToGrid w:val="0"/>
        </w:rPr>
        <w:softHyphen/>
        <w:t>вого феодального рыцарства, и безграничное лицемерие и ханжество церковных деятелей, не могут скрыть истинный характер этих предприятий. Автор “Ливонской хроники” свя</w:t>
      </w:r>
      <w:r>
        <w:rPr>
          <w:snapToGrid w:val="0"/>
        </w:rPr>
        <w:softHyphen/>
        <w:t>щенник Генрих, принимавший непосредственное участие в гра</w:t>
      </w:r>
      <w:r>
        <w:rPr>
          <w:snapToGrid w:val="0"/>
        </w:rPr>
        <w:softHyphen/>
        <w:t>бительских походах, в таких словах описывает “подвиги” крестоносцев в Прибалтике:   “. . . мы разделили свое войско по всем дорогам, деревням и областям и стали все сжигать и опустошать. Мужского пола всех убили, женщин и детей брали в плен, угоняли много скота и коней… И возвратилось войско с большой добычей, ведя с собой бесчисленное множество быков и овец”.</w:t>
      </w:r>
    </w:p>
    <w:p w:rsidR="00837F05" w:rsidRDefault="001C4834">
      <w:pPr>
        <w:pStyle w:val="Mystyle"/>
        <w:rPr>
          <w:snapToGrid w:val="0"/>
          <w:vertAlign w:val="superscript"/>
        </w:rPr>
      </w:pPr>
      <w:r>
        <w:rPr>
          <w:snapToGrid w:val="0"/>
        </w:rPr>
        <w:t>Немецкий философ и писатель, буржуазный просветитель XVIII в., Иоганн Гердер в своем капитальном сочинении по всеобщей истории культуры писал: “Судьба народов на побережье Балтийского моря составляет печальную страницу в истории человечества… Человечество ужаснется той крови, которая пролилась здесь в диких войнах”.</w:t>
      </w:r>
    </w:p>
    <w:p w:rsidR="00837F05" w:rsidRDefault="001C4834">
      <w:pPr>
        <w:pStyle w:val="Mystyle"/>
        <w:rPr>
          <w:snapToGrid w:val="0"/>
        </w:rPr>
      </w:pPr>
      <w:r>
        <w:rPr>
          <w:snapToGrid w:val="0"/>
        </w:rPr>
        <w:t>Год за годом проходил в напряженной борьбе. Рижский епископ Альберт получал систематически помощь и поддержку:</w:t>
      </w:r>
    </w:p>
    <w:p w:rsidR="00837F05" w:rsidRDefault="001C4834">
      <w:pPr>
        <w:pStyle w:val="Mystyle"/>
        <w:rPr>
          <w:snapToGrid w:val="0"/>
        </w:rPr>
      </w:pPr>
      <w:r>
        <w:rPr>
          <w:snapToGrid w:val="0"/>
        </w:rPr>
        <w:t>из Германии прибывали все новые феодальные ополчения, вооруженные отряды монахов; значительные денежные поступления шли от купцов из Дании, король которой, Вальдемар, организовал со своей стороны “крестовый поход” в Эстонию; с неослабным вниманием следили за ходом завоевательной авантюры в Прибалтике и из Рима, боявшегося потерять свою руководящую рель в ее организации.</w:t>
      </w:r>
    </w:p>
    <w:p w:rsidR="00837F05" w:rsidRDefault="001C4834">
      <w:pPr>
        <w:pStyle w:val="Mystyle"/>
        <w:rPr>
          <w:snapToGrid w:val="0"/>
        </w:rPr>
      </w:pPr>
      <w:r>
        <w:rPr>
          <w:snapToGrid w:val="0"/>
        </w:rPr>
        <w:t>Эти опасения имели основания. Помимо дальности расстоя</w:t>
      </w:r>
      <w:r>
        <w:rPr>
          <w:snapToGrid w:val="0"/>
        </w:rPr>
        <w:softHyphen/>
        <w:t>ния до театра военных действий, на котором подвизалось “христово воинство”, политическая обстановка в Прибалтике становилась для папства все более сложной. Между участни</w:t>
      </w:r>
      <w:r>
        <w:rPr>
          <w:snapToGrid w:val="0"/>
        </w:rPr>
        <w:softHyphen/>
        <w:t>ками разбойных войн против народов Прибалтики разгорелась ожесточенная борьба за добычу. Особенно обострились отно</w:t>
      </w:r>
      <w:r>
        <w:rPr>
          <w:snapToGrid w:val="0"/>
        </w:rPr>
        <w:softHyphen/>
        <w:t>шения между рижским епископом и орденом меченосцев, а также между епископом и датским королем.</w:t>
      </w:r>
    </w:p>
    <w:p w:rsidR="00837F05" w:rsidRDefault="001C4834">
      <w:pPr>
        <w:pStyle w:val="Mystyle"/>
        <w:rPr>
          <w:snapToGrid w:val="0"/>
          <w:vertAlign w:val="superscript"/>
        </w:rPr>
      </w:pPr>
      <w:r>
        <w:rPr>
          <w:snapToGrid w:val="0"/>
        </w:rPr>
        <w:t>Еще больше беспокоило папу явное стремление рижского (ливонского) епископа Альберта создать в Прибалтике само</w:t>
      </w:r>
      <w:r>
        <w:rPr>
          <w:snapToGrid w:val="0"/>
        </w:rPr>
        <w:softHyphen/>
        <w:t>стоятельное церковное княжество, подобное рейнским архиепископствам. Недовольство этой политикой Альберта было в Риме тем большим, что рижский епископ искал поддержки у герман</w:t>
      </w:r>
      <w:r>
        <w:rPr>
          <w:snapToGrid w:val="0"/>
        </w:rPr>
        <w:softHyphen/>
        <w:t>ского императора. В 1207 г. он передал императору захваченные в Прибалтике земли, получив их обратно в качестве импера</w:t>
      </w:r>
      <w:r>
        <w:rPr>
          <w:snapToGrid w:val="0"/>
        </w:rPr>
        <w:softHyphen/>
        <w:t>торского лена. Тем самым ливонский епископ стал имперским князем, а его зависимость от папства ослабела. Вероятно, этим объясняется отказ Рима возвести Альберта в сан архиепи</w:t>
      </w:r>
      <w:r>
        <w:rPr>
          <w:snapToGrid w:val="0"/>
        </w:rPr>
        <w:softHyphen/>
        <w:t>скопа.</w:t>
      </w:r>
    </w:p>
    <w:p w:rsidR="00837F05" w:rsidRDefault="001C4834">
      <w:pPr>
        <w:pStyle w:val="Mystyle"/>
        <w:rPr>
          <w:snapToGrid w:val="0"/>
        </w:rPr>
      </w:pPr>
      <w:r>
        <w:rPr>
          <w:snapToGrid w:val="0"/>
        </w:rPr>
        <w:t>Столкновения между отдельными группировками в лагере крестоносцев отражали борьбу главных сил в мире западно</w:t>
      </w:r>
      <w:r>
        <w:rPr>
          <w:snapToGrid w:val="0"/>
        </w:rPr>
        <w:softHyphen/>
        <w:t>европейского   феодализма — борьбу Империи с папством. Иннокентий III в 1211 г. отлучил императора Оттона IV от церкви и принялся за мобилизацию сил, которые могли бы на</w:t>
      </w:r>
      <w:r>
        <w:rPr>
          <w:snapToGrid w:val="0"/>
        </w:rPr>
        <w:softHyphen/>
        <w:t>нести императору окончательный удар. Определенное место в планах папы уделялось и ордену меченосцев, который получил с его стороны материальную поддержку".  В ответ на это 7 июля 1212 г. Оттон IV утвердил специальным актом соглашение, заключенное между епископом и орденом о разделе захваченных ими земель,  и тем самым еще больше укрепил свои отношения с рижской епархией. Тогда Иннокентий III перешел к решительным мерам с целью усилить папские пози</w:t>
      </w:r>
      <w:r>
        <w:rPr>
          <w:snapToGrid w:val="0"/>
        </w:rPr>
        <w:softHyphen/>
        <w:t>ции в Прибалтике.</w:t>
      </w:r>
    </w:p>
    <w:p w:rsidR="00837F05" w:rsidRDefault="001C4834">
      <w:pPr>
        <w:pStyle w:val="Mystyle"/>
        <w:rPr>
          <w:snapToGrid w:val="0"/>
        </w:rPr>
      </w:pPr>
      <w:r>
        <w:rPr>
          <w:snapToGrid w:val="0"/>
        </w:rPr>
        <w:t>Как упоминалось, рижские епископы (ранее икскюльскне) назначались из Бремена архиепископом, который считал риж</w:t>
      </w:r>
      <w:r>
        <w:rPr>
          <w:snapToGrid w:val="0"/>
        </w:rPr>
        <w:softHyphen/>
        <w:t>ского епископа подчиненным себе (суффраганом). Сам Альберт признавал себя суффраганом бременского архиепископа. Несмотря на это, папа Иннокентий III в специальном послании от 21 февраля 1213 г. неожиданно объявил, что рижское епископство подчинено ему непосредственно и не находится ни в какой зависимости от какого-либо архиепископа. Что же касается бременского архиепископа, который, как упомянуто, осуществлял ранее церковное руководство, то ему вменялось в обязанность помогать и поддерживать дело восточной “миссии”, но без каких-либо прав на руководство.</w:t>
      </w:r>
    </w:p>
    <w:p w:rsidR="00837F05" w:rsidRDefault="001C4834">
      <w:pPr>
        <w:pStyle w:val="Mystyle"/>
        <w:rPr>
          <w:snapToGrid w:val="0"/>
        </w:rPr>
      </w:pPr>
      <w:r>
        <w:rPr>
          <w:snapToGrid w:val="0"/>
        </w:rPr>
        <w:t>Вскоре папа еще более выразительно заявил о своем намерении сохранить новозавоеванные земли в своем исключительном владении. 10—11 октября 1213 г. Иннокентий III подписывает 5 документов, направленных на укрепление папских позиций в Прибалтике. При этом курия решительно вмеши</w:t>
      </w:r>
      <w:r>
        <w:rPr>
          <w:snapToGrid w:val="0"/>
        </w:rPr>
        <w:softHyphen/>
        <w:t>вается во взаимоотношения епископа и ордена. Папа стремится противопоставить рижскому епископу других местных князей церкви, поддерживает орден в его домогательствах и требует строгого выполнения своих распоряжений.</w:t>
      </w:r>
    </w:p>
    <w:p w:rsidR="00837F05" w:rsidRDefault="001C4834">
      <w:pPr>
        <w:pStyle w:val="Mystyle"/>
        <w:rPr>
          <w:snapToGrid w:val="0"/>
        </w:rPr>
      </w:pPr>
      <w:r>
        <w:rPr>
          <w:snapToGrid w:val="0"/>
        </w:rPr>
        <w:t>Через три недели папа издает 6 булл, посвященных тем же вопросам и свидетельствующих о том, что в миродержавной политике Иннокентия III Прибалтике отводилось первое место.</w:t>
      </w:r>
      <w:r>
        <w:rPr>
          <w:snapToGrid w:val="0"/>
          <w:vertAlign w:val="superscript"/>
        </w:rPr>
        <w:t xml:space="preserve"> </w:t>
      </w:r>
      <w:r>
        <w:rPr>
          <w:snapToGrid w:val="0"/>
        </w:rPr>
        <w:t>Все эти папские распоряжения относятся к Эстонии и заканчи</w:t>
      </w:r>
      <w:r>
        <w:rPr>
          <w:snapToGrid w:val="0"/>
        </w:rPr>
        <w:softHyphen/>
        <w:t>ваются буллой, освобождающей эстонского епископа, так же как это было установлено в феврале того же года относительно епископа Риги от зависимости со стороны какого-либо архиепископа.</w:t>
      </w:r>
    </w:p>
    <w:p w:rsidR="00837F05" w:rsidRDefault="001C4834">
      <w:pPr>
        <w:pStyle w:val="Mystyle"/>
        <w:rPr>
          <w:snapToGrid w:val="0"/>
        </w:rPr>
      </w:pPr>
      <w:r>
        <w:rPr>
          <w:snapToGrid w:val="0"/>
        </w:rPr>
        <w:t>Исключительное внимание папской курии к этим самым отдаленным, самым восточным епархиям римской церкви, неослабный интерес к событиям в Прибалтике вряд ли можно объяснить только значением этого края самого по себе. Разу</w:t>
      </w:r>
      <w:r>
        <w:rPr>
          <w:snapToGrid w:val="0"/>
        </w:rPr>
        <w:softHyphen/>
        <w:t>меется, для западноевропейских феодалов и купечества северной Германии земли и гавани ливов, куров и эстов представляли лакомую приманку. Соблазнительной была перспектива осесть на этих землях. Немалую выгоду обещало овладение морской торговлей на Балтике. Наконец, значительный доход можно было надеяться извлечь из сбора церковной десятины — обязательного и первого последствия так называемого “обращения”. И все же возможности ограбления Прибалтики для алчных и жадных завоевателей не были безграничны. Чем дальше, тем все больше встречали они сопротивление среди местного насе</w:t>
      </w:r>
      <w:r>
        <w:rPr>
          <w:snapToGrid w:val="0"/>
        </w:rPr>
        <w:softHyphen/>
        <w:t>ления. Экономический уровень развития народов Прибалтики в конце XII—начале XIII вв. был относительно высок. Здесь существовало земледелие с сошной обработкой почвы, развитое скотоводство при стойловом содержании животных, известны были и важнейшие отрасли ремесла задолго до появления немцев.</w:t>
      </w:r>
      <w:r>
        <w:rPr>
          <w:snapToGrid w:val="0"/>
          <w:vertAlign w:val="superscript"/>
        </w:rPr>
        <w:t xml:space="preserve"> </w:t>
      </w:r>
      <w:r>
        <w:rPr>
          <w:snapToGrid w:val="0"/>
        </w:rPr>
        <w:t>Эти данные решительно опровергают измышления некоторых историков о “полудиком” состоянии Прибалтики, об особой отсталости ее народов и о “культуртрегерской” роли крестоносцев. Ответ на эту лживую пропаганду дал в свое время еще Маркс, когда, опираясь на исторические источники, он писал, что рыцари несли в Прибалтику “христианско-германскую скотскую культуру”, которая “была бы вышвырнута вон”, если бы прибалтийские племена “были единодушны”. Между тем единства внутри этих племен не было и не могло быть. У народов Прибалтики, как и у их соседей, в интересующую нас эпоху происходило быстрое развитие феодальных отноше</w:t>
      </w:r>
      <w:r>
        <w:rPr>
          <w:snapToGrid w:val="0"/>
        </w:rPr>
        <w:softHyphen/>
        <w:t>ний. Формировались основные классы феодального общества — Крупные землевладельцы и зависимое от них крестьянство. Возникали даже примитивные государственные образования, хотя ни одно из них не способно было еще охватить всю тер</w:t>
      </w:r>
      <w:r>
        <w:rPr>
          <w:snapToGrid w:val="0"/>
        </w:rPr>
        <w:softHyphen/>
        <w:t>риторию данной народности.  Тем не менее “темпы феодаль</w:t>
      </w:r>
      <w:r>
        <w:rPr>
          <w:snapToGrid w:val="0"/>
        </w:rPr>
        <w:softHyphen/>
        <w:t>ного развития в Восточной Прибалтике были несколько мед</w:t>
      </w:r>
      <w:r>
        <w:rPr>
          <w:snapToGrid w:val="0"/>
        </w:rPr>
        <w:softHyphen/>
        <w:t>леннее даже по сравнению с окраинными русскими землями”,</w:t>
      </w:r>
      <w:r>
        <w:rPr>
          <w:snapToGrid w:val="0"/>
          <w:vertAlign w:val="superscript"/>
        </w:rPr>
        <w:t xml:space="preserve"> </w:t>
      </w:r>
      <w:r>
        <w:rPr>
          <w:snapToGrid w:val="0"/>
        </w:rPr>
        <w:t>не говоря уж о территориях, лежавших по Днепру—Волхову, далеко ушедших вперед в своем социально-экономическом развитии.</w:t>
      </w:r>
    </w:p>
    <w:p w:rsidR="00837F05" w:rsidRDefault="001C4834">
      <w:pPr>
        <w:pStyle w:val="Mystyle"/>
        <w:rPr>
          <w:snapToGrid w:val="0"/>
        </w:rPr>
      </w:pPr>
      <w:r>
        <w:rPr>
          <w:snapToGrid w:val="0"/>
        </w:rPr>
        <w:t>Организаторы и вдохновители крестоносной агрессии рас</w:t>
      </w:r>
      <w:r>
        <w:rPr>
          <w:snapToGrid w:val="0"/>
        </w:rPr>
        <w:softHyphen/>
        <w:t>сматривали Прибалтику не только как самоцель, но и как трамплин для дальнейшего продвижения на восток, против Руси, которая приобрела особое значение в связи с теми политическими изменениями, которые сложились после захвата Константинополя в 1204 г. и образования Латинской империи на Востоке.</w:t>
      </w:r>
    </w:p>
    <w:p w:rsidR="00837F05" w:rsidRDefault="001C4834">
      <w:pPr>
        <w:pStyle w:val="Mystyle"/>
        <w:rPr>
          <w:snapToGrid w:val="0"/>
        </w:rPr>
      </w:pPr>
      <w:r>
        <w:rPr>
          <w:snapToGrid w:val="0"/>
        </w:rPr>
        <w:t>Эти изменения вызвали и изменения экономического харак</w:t>
      </w:r>
      <w:r>
        <w:rPr>
          <w:snapToGrid w:val="0"/>
        </w:rPr>
        <w:softHyphen/>
        <w:t>тера. Венецианцы, извлекшие главную выгоду из нового поло</w:t>
      </w:r>
      <w:r>
        <w:rPr>
          <w:snapToGrid w:val="0"/>
        </w:rPr>
        <w:softHyphen/>
        <w:t>жения, сделавшись хозяевами на средиземноморских торговых путях, парализовали торговые связи, существовавшие издавна между Западом и Востоком через южную Русь. Главная роль в торговых отношениях Руси с Западом выпала теперь на долю северорусских городов: Новгорода, Пскова, Смоленска, Полоцка и других, особое значение приобрели пути по Волхову, Неве, Даугаве и по Балтийскому морю. Этим и следует объяснить то большое внимание, которое уделяется в начале XIII в. на Западе прибалтийским землям. Помимо того, что они рассматривались западноевропейскими феодалами как объект грабежа и феодальной эксплуатации, они вызывали к себе особый интерес у воинствующих ратоборцев феодально-католической экспансии своим стратегическим зна</w:t>
      </w:r>
      <w:r>
        <w:rPr>
          <w:snapToGrid w:val="0"/>
        </w:rPr>
        <w:softHyphen/>
        <w:t>чением. Создать здесь базу сосредоточения крупных сил для вторжения в пределы Руси, блокировать русские границы, взять под свой контроль торговлю на Балтике, отрезав от нее Русь и обрекая ее тем самым на экономическое удушение, представлялось многим западноевропейским политикам, и прежде всего папству, весьма заманчивой возможностью. По их расчетам, владея Прибалтикой, можно было начать наступление и на богатые русские земли с их многочисленным населением. Это сулило новые источники обогащения для феодальных захватчи</w:t>
      </w:r>
      <w:r>
        <w:rPr>
          <w:snapToGrid w:val="0"/>
        </w:rPr>
        <w:softHyphen/>
        <w:t>ков и в первую очередь для папской курии.</w:t>
      </w:r>
    </w:p>
    <w:p w:rsidR="00837F05" w:rsidRDefault="001C4834">
      <w:pPr>
        <w:pStyle w:val="Mystyle"/>
        <w:rPr>
          <w:snapToGrid w:val="0"/>
        </w:rPr>
      </w:pPr>
      <w:r>
        <w:rPr>
          <w:snapToGrid w:val="0"/>
        </w:rPr>
        <w:t>Пыл феодально-католических агрессоров подогревался еще и тем, что общая международная обстановка в начале XIII в. для Руси значительно ухудшилась: половцы и другие степняки отрезали ее от Черного моря и сделали почти непроходимыми древние торговые пути по Днепру и Дону; Византия захватила Северный Кавказ, Тмутаракань и часть Крыма; в начале 20-х годов появились на русской земле и турки-сельджуки, пытавшиеся было утвердиться в Крыму. На востоке против власти русских (владимиро-суздальских) князей стали пониматься мордва, мари, буртасы.  Усилился вражеский натиск на русские границы и с запада: венгры вторглись в Галицкую Русь; Литва, делавшая быстрые успехи в своем феодальном развитии, теснила полоцких князей, захватив их владения на запад от Двины. От внимания западных политиков не могло ускользнуть и то, что Русь раздиралась нескончаемыми фео</w:t>
      </w:r>
      <w:r>
        <w:rPr>
          <w:snapToGrid w:val="0"/>
        </w:rPr>
        <w:softHyphen/>
        <w:t>дальными распрями князей, что серьезно ослабляло ее способ</w:t>
      </w:r>
      <w:r>
        <w:rPr>
          <w:snapToGrid w:val="0"/>
        </w:rPr>
        <w:softHyphen/>
        <w:t>ность к обороне от внешнего врага.</w:t>
      </w:r>
    </w:p>
    <w:p w:rsidR="00837F05" w:rsidRDefault="001C4834">
      <w:pPr>
        <w:pStyle w:val="Mystyle"/>
        <w:rPr>
          <w:snapToGrid w:val="0"/>
        </w:rPr>
      </w:pPr>
      <w:r>
        <w:rPr>
          <w:snapToGrid w:val="0"/>
        </w:rPr>
        <w:t>Католические агрессоры с самого начала своих захватниче</w:t>
      </w:r>
      <w:r>
        <w:rPr>
          <w:snapToGrid w:val="0"/>
        </w:rPr>
        <w:softHyphen/>
        <w:t>ских действий в Прибалтике отдавали себе ясный отчет в том, что своим острием эти действия направлены против Руси. Обрекая народы Прибалтики на поток и разграбление, крестоносцы не щадили и русских. Православные церкви также подвергались разрушению, а с православным населением расправлялись, как и с нехристианами. Так же орудовали феодально-католические агрессоры и на собственно русских землях: они грабили русские города и села, разрушали церкви, захватывали в качестве добычи и церковные колокола, и иконы, и прочее церковное убранство. Тысячи русских людей были истреблены или уведены в плен. Немецкий хронист рассказывает, как “братья-рыцари” пошли в “Руссию” и как занимались там убийством и грабежом. В 1219 г. крестоносцами было совершено нападение на Псков: “Стали грабить деревни, убивать мужчин, брать в плен женщин и обратили в пустыню всю местность вокруг Пскова, а когда они вернулись, пошли другие и нанесли такой же вред и всякий раз уносили много добычи”. Делались попытки обо</w:t>
      </w:r>
      <w:r>
        <w:rPr>
          <w:snapToGrid w:val="0"/>
        </w:rPr>
        <w:softHyphen/>
        <w:t>сноваться на исконных русских землях и хозяйничать здесь: “... они поселились в русской земле, устраивали засады на полях, в лесах и деревнях, захватывали и убивали людей, не давая покоя, уводили коней и скот и женщин их”.</w:t>
      </w:r>
    </w:p>
    <w:p w:rsidR="00837F05" w:rsidRDefault="001C4834">
      <w:pPr>
        <w:pStyle w:val="Mystyle"/>
        <w:rPr>
          <w:snapToGrid w:val="0"/>
          <w:vertAlign w:val="superscript"/>
        </w:rPr>
      </w:pPr>
      <w:r>
        <w:rPr>
          <w:snapToGrid w:val="0"/>
        </w:rPr>
        <w:t>Спустя два года (в 1221 г.) “братья-рыцари” из Риги, по</w:t>
      </w:r>
      <w:r>
        <w:rPr>
          <w:snapToGrid w:val="0"/>
        </w:rPr>
        <w:softHyphen/>
        <w:t>гнав с собой орды местных лэттов, вступили, как рассказывает летописец, “в королевство Новгородское и разорили всю окрестную местность, сожгли дома и деревни, много народу увели в плен, а иных убили”.</w:t>
      </w:r>
    </w:p>
    <w:p w:rsidR="00837F05" w:rsidRDefault="001C4834">
      <w:pPr>
        <w:pStyle w:val="Mystyle"/>
        <w:rPr>
          <w:snapToGrid w:val="0"/>
        </w:rPr>
      </w:pPr>
      <w:r>
        <w:rPr>
          <w:snapToGrid w:val="0"/>
        </w:rPr>
        <w:t>Эти факты, во множестве приводимые в источниках (осо</w:t>
      </w:r>
      <w:r>
        <w:rPr>
          <w:snapToGrid w:val="0"/>
        </w:rPr>
        <w:softHyphen/>
        <w:t>бенно у Генриха Латвийского, который со своими грубо-наив</w:t>
      </w:r>
      <w:r>
        <w:rPr>
          <w:snapToGrid w:val="0"/>
        </w:rPr>
        <w:softHyphen/>
        <w:t>ными представлениями типичного “крестоносца” — феодального разбойника—не считал даже нужным эти факты смягчить) показывают, что религиозные соображения не играли никакой роли в разбойных действиях крестоносцев и что главной их целью были грабеж и порабощение населения.</w:t>
      </w:r>
    </w:p>
    <w:p w:rsidR="00837F05" w:rsidRDefault="00837F05">
      <w:pPr>
        <w:pStyle w:val="Mystyle"/>
      </w:pPr>
    </w:p>
    <w:p w:rsidR="00837F05" w:rsidRDefault="001C4834">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837F05" w:rsidRDefault="00837F05">
      <w:pPr>
        <w:pStyle w:val="Mystyle"/>
      </w:pPr>
      <w:bookmarkStart w:id="0" w:name="_GoBack"/>
      <w:bookmarkEnd w:id="0"/>
    </w:p>
    <w:sectPr w:rsidR="00837F05">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3">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4">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5">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60BB224F"/>
    <w:multiLevelType w:val="multilevel"/>
    <w:tmpl w:val="F1620288"/>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834"/>
    <w:rsid w:val="001C4834"/>
    <w:rsid w:val="00837F05"/>
    <w:rsid w:val="00C25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843554F-AD42-4BBA-B6CE-BBB472FE5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0">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2239</Words>
  <Characters>12763</Characters>
  <Application>Microsoft Office Word</Application>
  <DocSecurity>0</DocSecurity>
  <Lines>106</Lines>
  <Paragraphs>29</Paragraphs>
  <ScaleCrop>false</ScaleCrop>
  <Company>ГУУ</Company>
  <LinksUpToDate>false</LinksUpToDate>
  <CharactersWithSpaces>14973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2014-01-30T16:36:00Z</dcterms:created>
  <dcterms:modified xsi:type="dcterms:W3CDTF">2014-01-30T16:36:00Z</dcterms:modified>
</cp:coreProperties>
</file>