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91" w:rsidRDefault="00970B91">
      <w:pPr>
        <w:pStyle w:val="Z16"/>
        <w:jc w:val="center"/>
      </w:pPr>
      <w:r>
        <w:t>Неустойка и задаток: сходства и различия</w:t>
      </w:r>
    </w:p>
    <w:p w:rsidR="00970B91" w:rsidRDefault="00970B91">
      <w:pPr>
        <w:pStyle w:val="Mystyle"/>
      </w:pPr>
    </w:p>
    <w:p w:rsidR="00970B91" w:rsidRDefault="00970B91">
      <w:pPr>
        <w:pStyle w:val="Mystyle"/>
      </w:pPr>
      <w:r>
        <w:t>Уже неоднократно обращалось внимание как на моменты, сближающие неустойку с задатком, так и на проводящие между ними различие. Тем не менее, на наш взгляд, следует еще раз расставить акценты и подвести некоторые итоги.</w:t>
      </w:r>
    </w:p>
    <w:p w:rsidR="00970B91" w:rsidRDefault="00970B91">
      <w:pPr>
        <w:pStyle w:val="Mystyle"/>
      </w:pPr>
      <w:r>
        <w:t>Итак, неустойка и задаток. Оба пришли к нам из Древнего Рима. Оба представляют собой акцессорные способы обеспечения исполнения обязательств, одновременно играя роль санкции. Оба могут иметь и договорное, и законное происхождение. Как неустойка, так и задаток обременяют собой и кредитора, и должника, что выделяет их из всех других способов обеспечения исполнения обязательств. Некоторое сходство имеется и в сущности этих двух институтов:</w:t>
      </w:r>
      <w:r>
        <w:rPr>
          <w:color w:val="FF0000"/>
        </w:rPr>
        <w:t xml:space="preserve"> </w:t>
      </w:r>
      <w:r>
        <w:t>задаток, как заранее зафиксированная сумма, подлежащая уплате при неисполнении обязательства, имеет некоторые черты сходства с неустойкой, представляющей собой заранее определенный размер денежной суммы. Сходство задатка и неустойки проявляется также в том, что сверх потери суммы задатка сторона, ответственная за неисполнение договора, обязана возместить другой стороне убытки с зачетом суммы задатка, если в договоре не предусмотрено иное.</w:t>
      </w:r>
    </w:p>
    <w:p w:rsidR="00970B91" w:rsidRDefault="00970B91">
      <w:pPr>
        <w:pStyle w:val="Mystyle"/>
      </w:pPr>
      <w:r>
        <w:t>Говоря о различиях неустойки и задатка, прежде всего, следует отметить, что задаток вносится вперед, а неустойка только обуславливается при заключении договора. Далее, неустойка взыскивается в случаях неисполнения и ненадлежащего исполнения основного обязательства, в то время как задаток – только неисполнение основного обязательства. И неустойка, и задаток требуют заключения отдельного соглашения в письменной форме, но если несоблюдение этой формы при заключении соглашения о задатке лишь влечет за собой лишение сторон права ссылаться на свидетельские показания, то для неустоечного соглашения письменная форма является условием действительности. Неустойка и задаток отличаются и по функциям: если у неустойки основной акцент сделан на обеспечительную функцию, то задаток, помимо этого, служит еще и доказательством заключения договора по основному обязательству, а также выполняет платежную функцию. Еще одно важное различие заключается в том, что неустойка может быть уменьшена судом, а сумма задатка является жестко зафиксированным пределом неблагоприятных имущественных последствий лиц, не исполнивших обеспеченное задатком обязательство.</w:t>
      </w:r>
    </w:p>
    <w:p w:rsidR="00970B91" w:rsidRDefault="00970B91">
      <w:pPr>
        <w:pStyle w:val="Mystyle"/>
      </w:pPr>
      <w:r>
        <w:t xml:space="preserve">Вот, пожалуй, и все основные сходства и различия между неустойкой и задатком. </w:t>
      </w:r>
    </w:p>
    <w:p w:rsidR="00970B91" w:rsidRDefault="00970B91">
      <w:pPr>
        <w:pStyle w:val="Z14"/>
        <w:jc w:val="center"/>
      </w:pPr>
    </w:p>
    <w:p w:rsidR="00970B91" w:rsidRDefault="00970B91">
      <w:pPr>
        <w:pStyle w:val="Z14"/>
        <w:jc w:val="center"/>
      </w:pPr>
    </w:p>
    <w:p w:rsidR="00970B91" w:rsidRDefault="00970B91">
      <w:pPr>
        <w:pStyle w:val="Z14"/>
        <w:jc w:val="center"/>
      </w:pPr>
      <w:r>
        <w:t>Список литературы</w:t>
      </w:r>
    </w:p>
    <w:p w:rsidR="00970B91" w:rsidRDefault="00970B91">
      <w:pPr>
        <w:pStyle w:val="Mystyle"/>
      </w:pPr>
    </w:p>
    <w:p w:rsidR="00970B91" w:rsidRDefault="00970B91">
      <w:pPr>
        <w:pStyle w:val="22"/>
        <w:numPr>
          <w:ilvl w:val="0"/>
          <w:numId w:val="7"/>
        </w:numPr>
        <w:spacing w:line="360" w:lineRule="auto"/>
      </w:pPr>
      <w:r>
        <w:t>Агарков М. М. Обязательство по советскому гражданскому праву// Москва, 1987;</w:t>
      </w:r>
    </w:p>
    <w:p w:rsidR="00970B91" w:rsidRDefault="00970B91">
      <w:pPr>
        <w:pStyle w:val="22"/>
        <w:numPr>
          <w:ilvl w:val="0"/>
          <w:numId w:val="7"/>
        </w:numPr>
        <w:spacing w:line="360" w:lineRule="auto"/>
      </w:pPr>
      <w:r>
        <w:t>Анненков К. А. Система русского гражданского права. Том 3. Обязательственные права// Спб., 1898;</w:t>
      </w:r>
    </w:p>
    <w:p w:rsidR="00970B91" w:rsidRDefault="00970B91">
      <w:pPr>
        <w:pStyle w:val="22"/>
        <w:numPr>
          <w:ilvl w:val="0"/>
          <w:numId w:val="7"/>
        </w:numPr>
        <w:spacing w:line="360" w:lineRule="auto"/>
      </w:pPr>
      <w:r>
        <w:t>Брагинский М. И., Витрянский В. В. Договорное право. Общие положения// Москва, 1998;</w:t>
      </w:r>
    </w:p>
    <w:p w:rsidR="00970B91" w:rsidRDefault="00970B91">
      <w:pPr>
        <w:pStyle w:val="Mystyle"/>
      </w:pPr>
      <w:bookmarkStart w:id="0" w:name="_GoBack"/>
      <w:bookmarkEnd w:id="0"/>
    </w:p>
    <w:sectPr w:rsidR="00970B91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3">
    <w:nsid w:val="4BEB4D0C"/>
    <w:multiLevelType w:val="singleLevel"/>
    <w:tmpl w:val="DC3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6CE54EF6"/>
    <w:multiLevelType w:val="multilevel"/>
    <w:tmpl w:val="FC447172"/>
    <w:lvl w:ilvl="0">
      <w:start w:val="1"/>
      <w:numFmt w:val="decimal"/>
      <w:pStyle w:val="Referat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580739D"/>
    <w:multiLevelType w:val="singleLevel"/>
    <w:tmpl w:val="61BAA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8C5"/>
    <w:rsid w:val="001868C5"/>
    <w:rsid w:val="0081252A"/>
    <w:rsid w:val="00970B91"/>
    <w:rsid w:val="00B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1B89057-1362-483A-9EE2-14B8445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keepLines/>
      <w:pageBreakBefore/>
      <w:widowControl/>
      <w:pBdr>
        <w:top w:val="single" w:sz="48" w:space="4" w:color="auto"/>
      </w:pBdr>
      <w:autoSpaceDE/>
      <w:autoSpaceDN/>
      <w:spacing w:before="120" w:after="120"/>
      <w:outlineLvl w:val="1"/>
    </w:pPr>
    <w:rPr>
      <w:b/>
      <w:bCs/>
      <w:sz w:val="28"/>
      <w:szCs w:val="28"/>
      <w:lang w:val="ru-RU"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pPr>
      <w:keepNext/>
      <w:keepLines/>
      <w:widowControl/>
      <w:autoSpaceDE/>
      <w:autoSpaceDN/>
      <w:spacing w:before="120" w:after="120"/>
      <w:outlineLvl w:val="2"/>
    </w:pPr>
    <w:rPr>
      <w:b/>
      <w:b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pPr>
      <w:widowControl/>
      <w:jc w:val="both"/>
    </w:pPr>
    <w:rPr>
      <w:lang w:val="ru-RU"/>
    </w:rPr>
  </w:style>
  <w:style w:type="character" w:customStyle="1" w:styleId="23">
    <w:name w:val="Основной текст 2 Знак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4">
    <w:name w:val="Body Text Indent 2"/>
    <w:basedOn w:val="a"/>
    <w:link w:val="25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3">
    <w:name w:val="Основной текст с отступом 3 Знак"/>
    <w:link w:val="32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6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4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HeadingBar">
    <w:name w:val="Heading Bar"/>
    <w:basedOn w:val="a"/>
    <w:next w:val="3"/>
    <w:uiPriority w:val="99"/>
    <w:pPr>
      <w:keepNext/>
      <w:keepLines/>
      <w:widowControl/>
      <w:shd w:val="solid" w:color="auto" w:fill="auto"/>
      <w:autoSpaceDE/>
      <w:autoSpaceDN/>
      <w:spacing w:before="240"/>
      <w:ind w:right="7689"/>
    </w:pPr>
    <w:rPr>
      <w:color w:val="FFFFFF"/>
      <w:sz w:val="8"/>
      <w:szCs w:val="8"/>
      <w:lang w:val="ru-RU" w:eastAsia="en-US"/>
    </w:rPr>
  </w:style>
  <w:style w:type="paragraph" w:customStyle="1" w:styleId="Referat-Body">
    <w:name w:val="Referat-Body"/>
    <w:basedOn w:val="a"/>
    <w:uiPriority w:val="99"/>
    <w:pPr>
      <w:widowControl/>
      <w:autoSpaceDE/>
      <w:autoSpaceDN/>
      <w:spacing w:line="360" w:lineRule="auto"/>
      <w:ind w:firstLine="561"/>
      <w:jc w:val="both"/>
    </w:pPr>
    <w:rPr>
      <w:lang w:val="ru-RU" w:eastAsia="en-US"/>
    </w:rPr>
  </w:style>
  <w:style w:type="paragraph" w:customStyle="1" w:styleId="Referat-Bullet">
    <w:name w:val="Referat-Bullet"/>
    <w:basedOn w:val="a"/>
    <w:uiPriority w:val="99"/>
    <w:pPr>
      <w:widowControl/>
      <w:numPr>
        <w:numId w:val="8"/>
      </w:numPr>
      <w:tabs>
        <w:tab w:val="num" w:pos="927"/>
      </w:tabs>
      <w:autoSpaceDE/>
      <w:autoSpaceDN/>
      <w:spacing w:line="360" w:lineRule="auto"/>
      <w:ind w:left="918" w:hanging="357"/>
    </w:pPr>
    <w:rPr>
      <w:lang w:val="ru-RU" w:eastAsia="en-US"/>
    </w:rPr>
  </w:style>
  <w:style w:type="paragraph" w:customStyle="1" w:styleId="Z16">
    <w:name w:val="Z_16"/>
    <w:basedOn w:val="a"/>
    <w:uiPriority w:val="99"/>
    <w:pPr>
      <w:widowControl/>
    </w:pPr>
    <w:rPr>
      <w:b/>
      <w:bCs/>
      <w:sz w:val="32"/>
      <w:szCs w:val="32"/>
      <w:lang w:val="ru-RU"/>
    </w:rPr>
  </w:style>
  <w:style w:type="paragraph" w:customStyle="1" w:styleId="Z14">
    <w:name w:val="Z_14"/>
    <w:basedOn w:val="a"/>
    <w:uiPriority w:val="99"/>
    <w:pPr>
      <w:widowControl/>
    </w:pPr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Государство и право Англии в период сословно-представительной монархии</vt:lpstr>
    </vt:vector>
  </TitlesOfParts>
  <Company>ГУУ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2014-01-27T07:38:00Z</dcterms:created>
  <dcterms:modified xsi:type="dcterms:W3CDTF">2014-01-27T07:38:00Z</dcterms:modified>
</cp:coreProperties>
</file>