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EC" w:rsidRPr="000232DA" w:rsidRDefault="001733EC" w:rsidP="001733EC">
      <w:pPr>
        <w:spacing w:before="120"/>
        <w:jc w:val="center"/>
        <w:rPr>
          <w:b/>
          <w:bCs/>
          <w:sz w:val="32"/>
          <w:szCs w:val="32"/>
        </w:rPr>
      </w:pPr>
      <w:r w:rsidRPr="000232DA">
        <w:rPr>
          <w:b/>
          <w:bCs/>
          <w:sz w:val="32"/>
          <w:szCs w:val="32"/>
        </w:rPr>
        <w:t>Николай Пиксанов</w:t>
      </w:r>
    </w:p>
    <w:p w:rsidR="001733EC" w:rsidRDefault="001733EC" w:rsidP="001733EC">
      <w:pPr>
        <w:spacing w:before="120"/>
        <w:ind w:firstLine="567"/>
        <w:jc w:val="both"/>
      </w:pPr>
      <w:r w:rsidRPr="000232DA">
        <w:t xml:space="preserve">Пиксанов Николай Кириакович </w:t>
      </w:r>
      <w:r>
        <w:t>(р.</w:t>
      </w:r>
      <w:r w:rsidRPr="000232DA">
        <w:t>1878</w:t>
      </w:r>
      <w:r>
        <w:t>)</w:t>
      </w:r>
      <w:r w:rsidRPr="000232DA">
        <w:t xml:space="preserve"> —литературовед. Профессор Петербургского, Саратовского и Московского университетов, ныне Ленинградского института философии, истории и лингвистики. С 1922 по 1929 состоял председателем Пушкинской комиссии Общества любителей российской словесности, вице-президентом ГАХН. Член-корреспондент Академии наук. Главные работы Пиксанова посвящены творчеству Грибоедова: под его редакцией вышло трехтомное собрание сочинений Грибоедова, изданное Академией наук (3 тома, П., 1911—1917). Творчеству Грибоедова посвящен ряд работ П., в том числе самая значительная — «Творческая история „Горя от ум“» </w:t>
      </w:r>
      <w:r>
        <w:t>(</w:t>
      </w:r>
      <w:r w:rsidRPr="000232DA">
        <w:t>1928</w:t>
      </w:r>
      <w:r>
        <w:t>)</w:t>
      </w:r>
      <w:r w:rsidRPr="000232DA">
        <w:t xml:space="preserve">. Однако тематика работ П. далеко выходит за пределы грибоедовской эпохи. </w:t>
      </w:r>
    </w:p>
    <w:p w:rsidR="001733EC" w:rsidRPr="000232DA" w:rsidRDefault="001733EC" w:rsidP="001733EC">
      <w:pPr>
        <w:spacing w:before="120"/>
        <w:ind w:firstLine="567"/>
        <w:jc w:val="both"/>
      </w:pPr>
      <w:r w:rsidRPr="000232DA">
        <w:t xml:space="preserve">По своим методологическим взглядам П. примыкает к сторонникам «социологического метода» в литературоведении, возглавлявшегося П. Н. Сакулиным (см. «Методы домарксистского литературоведения»). Подобно Сакулину П. был учеником Пыпина и Тихонравова и сохранил в своих взглядах явный отпечаток методологии культурно-исторической школы. Методологическое влияние Пыпина сказывается особенно ощутительно в ранних работах Пиксанова; таковы например статья «Памяти А. Н. Пыпина» в «Известиях 2-го отделения Академии наук», 1910, № 3, или статья о журналистике начала XIX в. в т. I «Истории русской литературы XIX в.». В дальнейшем П. довольно решительно отходит от своего учителя, методологию </w:t>
      </w:r>
      <w:r>
        <w:t>котор</w:t>
      </w:r>
      <w:r w:rsidRPr="000232DA">
        <w:t xml:space="preserve">ого он неоднократно критикует и в конкретном и теоретическом плане. Эта критика все же не привела П. к действительному овладению диалектическим материализмом, как им неоднократно это декларировалось (см. напр. предисловие к «Двум векам» во 2-м издании, 1924, и особенно его работу о «Творческой истории „Горя от ума“»). Понимание культурной среды как «фактора», обусловливающего творческую деятельность художника, ведет П. к недоучету существеннейших процессов классовой борьбы, </w:t>
      </w:r>
      <w:r>
        <w:t>котор</w:t>
      </w:r>
      <w:r w:rsidRPr="000232DA">
        <w:t xml:space="preserve">ая является определяющим моментом в истории </w:t>
      </w:r>
      <w:r>
        <w:t>литератур</w:t>
      </w:r>
      <w:r w:rsidRPr="000232DA">
        <w:t xml:space="preserve">ы. </w:t>
      </w:r>
      <w:r>
        <w:t>Литературны</w:t>
      </w:r>
      <w:r w:rsidRPr="000232DA">
        <w:t xml:space="preserve">е произведения по большей части берутся им вне их диалектической связи, изолированно, как явление культуры, как выражение «социальной психологии» автора. Метод П. страдает эклектизмом. Характерно признание, сделанное П. в 1924 в предисловии ко 2-му изданию книги «Два века русской литературы»: «Литературная наука своим предметом имеет явление столь сложное, что ограничение каким-нибудь одним монопольным методом или приемом было бы положительно вредно. Поэтому вполне приемлемы и давали отличные результаты самые разнообразные методы: лингвистический, формальный, эстетический, психологический, социологический». В последнее время П. отказался от этого своего утверждения (см. «Письмо в редакцию журнала „Литературный критик“», 1933, VII). </w:t>
      </w:r>
    </w:p>
    <w:p w:rsidR="001733EC" w:rsidRPr="000232DA" w:rsidRDefault="001733EC" w:rsidP="001733EC">
      <w:pPr>
        <w:spacing w:before="120"/>
        <w:ind w:firstLine="567"/>
        <w:jc w:val="both"/>
      </w:pPr>
      <w:r w:rsidRPr="000232DA">
        <w:t xml:space="preserve">В период 1925—1928 Пиксанов выступал с двумя методологическими теориями — «творческой истории» и «областных культурных гнезд». Разработке первой посвящена работа П. о Грибоедове и редактировавшийся им сб. «Творческая история» </w:t>
      </w:r>
      <w:r>
        <w:t>(</w:t>
      </w:r>
      <w:r w:rsidRPr="000232DA">
        <w:t>1927</w:t>
      </w:r>
      <w:r>
        <w:t>)</w:t>
      </w:r>
      <w:r w:rsidRPr="000232DA">
        <w:t xml:space="preserve">. В них П. настоятельно требует изучения процесса создания шедевров, внимательного исследования всех первоначальных замыслов художника, прототипов отдельных образов, вариантов текста и т. п. Принцип «творческой истории» не содержит в себе ничего неприемлемого, но он далеко не нов, ибо исследование текста всегда входило в компетенцию литературоведения. П. только психологизирует это текстологическое исследование произведения, обязывая литературоведов к целому ряду посторонних исследований. Как бы ни было интересно изучение прототипов </w:t>
      </w:r>
      <w:r>
        <w:t>литературно</w:t>
      </w:r>
      <w:r w:rsidRPr="000232DA">
        <w:t xml:space="preserve">го произведения, оно не может заменить классового осмысления идейно-классового содержания </w:t>
      </w:r>
      <w:r>
        <w:t>литератур</w:t>
      </w:r>
      <w:r w:rsidRPr="000232DA">
        <w:t xml:space="preserve">ы. Метод творческой истории имеет явно подсобное </w:t>
      </w:r>
      <w:r>
        <w:t xml:space="preserve"> </w:t>
      </w:r>
      <w:r w:rsidRPr="000232DA">
        <w:t xml:space="preserve">значение для науки о </w:t>
      </w:r>
      <w:r>
        <w:t>литератур</w:t>
      </w:r>
      <w:r w:rsidRPr="000232DA">
        <w:t xml:space="preserve">е. Вдобавок он не всегда целесообразен; так случилось в частности с «Горем от ума», исследуя творческую историю </w:t>
      </w:r>
      <w:r>
        <w:t>котор</w:t>
      </w:r>
      <w:r w:rsidRPr="000232DA">
        <w:t xml:space="preserve">ого, П. вынужден был констатировать сравнительную стабильность отдельных сторон этого шедевра, напр. такой «стороны», как его идеология. </w:t>
      </w:r>
    </w:p>
    <w:p w:rsidR="001733EC" w:rsidRPr="000232DA" w:rsidRDefault="001733EC" w:rsidP="001733EC">
      <w:pPr>
        <w:spacing w:before="120"/>
        <w:ind w:firstLine="567"/>
        <w:jc w:val="both"/>
      </w:pPr>
      <w:r w:rsidRPr="000232DA">
        <w:t xml:space="preserve">Другая методологическая концепция П. — его теория «областных культурных гнезд», нашедшая отражение в одноименной книжке, в статье П. об украинских повестях Гоголя, в его статьях о Горьком, — сводится к указанию необходимости изучать те черты областных культур, в </w:t>
      </w:r>
      <w:r>
        <w:t>котор</w:t>
      </w:r>
      <w:r w:rsidRPr="000232DA">
        <w:t xml:space="preserve">ых росли и воспитывались писатели прошлого и которые наложили на их творчество особый отпечаток. Марксистское литературоведение не отрицает необходимости учета этих черт местного своеобразия, но, исходя из общих установок диалектического материализма, ставит этот принцип в подчиненное положение. </w:t>
      </w:r>
    </w:p>
    <w:p w:rsidR="001733EC" w:rsidRPr="000232DA" w:rsidRDefault="001733EC" w:rsidP="001733EC">
      <w:pPr>
        <w:spacing w:before="120"/>
        <w:ind w:firstLine="567"/>
        <w:jc w:val="both"/>
      </w:pPr>
      <w:r w:rsidRPr="000232DA">
        <w:t xml:space="preserve">Ценность работ Пиксанова для современного литературоведения — в их фактической части, в обилии предлагаемых документов, в планомерной разработке вопросов (творческая история и проблема областной литературы), имеющих при всей своей подсобности важное значение для литературоведения. </w:t>
      </w:r>
    </w:p>
    <w:p w:rsidR="001733EC" w:rsidRPr="000232DA" w:rsidRDefault="001733EC" w:rsidP="001733EC">
      <w:pPr>
        <w:spacing w:before="120"/>
        <w:jc w:val="center"/>
        <w:rPr>
          <w:b/>
          <w:bCs/>
          <w:sz w:val="28"/>
          <w:szCs w:val="28"/>
        </w:rPr>
      </w:pPr>
      <w:r w:rsidRPr="000232DA">
        <w:rPr>
          <w:b/>
          <w:bCs/>
          <w:sz w:val="28"/>
          <w:szCs w:val="28"/>
        </w:rPr>
        <w:t xml:space="preserve">Список литературы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I. А. С. Грибоедов, Биографический очерк, СПБ, 1911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Семинарий по новой русской литературе. Три эпохи: екатерининская, александровская, николаевская, СПБ, 1912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То же, изд. 2-е, переработанное, СПБ, 1913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Хронология русской литературы для учащихся, СПБ, 1914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И. В. Лопухин, сб. «Масонство в прошлом и настоящем», изд. «Задруга», М., 1914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Грибоедов и Мольер. Переоценка традиции, Гиз, М., 1922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Пушкинская студия, изд. «Атеней», П., 1922 (изд. 1-е — Саратов, 1921)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Островский, Литературно-театральный семинарий, изд. «Основа», Иваново-Вознесенск, 1923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Старорусская повесть, Гиз, М., 1923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Два века русской литературы, Гиз, М., 1923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То же, изд. 2-е, М., 1924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Новый путь литературной науки. Изучение творческой истории шедевра (Принципы и методы), «Искусство» (М.), 1923, 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Грибоедов и старое барство. По неизданным материалам, изд. «Никитинские субботники», М., 1926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Короленко. Идеология. Творчество. Вступит. статья к «Избранным произведениям В. Г. Короленко», Гиз, М., 1926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Литературные работы М. С. Ольминского, «Звезда», 1926, V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Обломовщина, вступ. статья к «Обломову» И. А. Гончарова, Гиз, М., 1927 («Русские и мировые классики»)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в переработанном виде эта статья вошла в изд. «Обломова», ГИХЛ, М. — Л., 1934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О сборнике молодых литературоведов-формалистов, «На литературном посту», 1927, IV (о сб. «Русская проза», Л., 1926)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Областные культурные гнезда, Историко-краеведный семинарий, Гиз, М., 1928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Творческая история «Горя от ума», Гиз, М. — Л., 1928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Революционное народничество и «Новь» Тургенева. Вступит. статья к роману «Новь», Гиз., М. — Л., 1928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Сказки Щедрина, Вступит. статья к «Сказкам» М. Е. Салтыкова, изд. 2-е, Гиз, М. — Л., 1930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Безвестные статьи Н. И. Тургенева, сб. «Декабристы и их время», т. II, М., 1932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Из революционного прошлого М. Горького, сб. «Горький в Татарстане», Казань, 1932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Горький и фольклор, «Советская этнография», 1932, № 5—6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Горький — стихотворец, «Новый мир», 1932, IX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Глеб Успенский о Карле Марксе, там же, 1933, III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Акад. А. Н. Пыпин, К 100-летию со дня рождения, «Вестник Академии наук СССР», 1933, № 4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О классиках, Сборник статей, изд. Московского т-ва писателей, М., 1933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Дворянская реакция на декабризм, «Звенья», сб. II, М., 1933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Литературное наследие Салтыкова (Этапы, жанры, циклы, типы и темы его творчества). Вступит. статья к однотомному изд. «Сочинений», ГИХЛ, М. — Л., 1933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Письмо в редакцию (Об отзывах И. Сергиевского и о себе самом), «Литературный критик», 1933, № 7, и др.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Становление драматурга (Молодой Горький и театр), сб. «Горький и театр», Л., 1933</w:t>
      </w:r>
      <w:r>
        <w:t xml:space="preserve"> </w:t>
      </w:r>
    </w:p>
    <w:p w:rsidR="001733EC" w:rsidRPr="000232DA" w:rsidRDefault="001733EC" w:rsidP="001733EC">
      <w:pPr>
        <w:spacing w:before="120"/>
        <w:ind w:firstLine="567"/>
        <w:jc w:val="both"/>
      </w:pPr>
      <w:r w:rsidRPr="000232DA">
        <w:t xml:space="preserve">Достоевский и фольклор, «Советская этнография», 1934, № 1—2.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II. Сватиков С., «Современный мир», 1914, III (отзыв о семинарии «Три эпохи»)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Фатов Н. Н., «Печать и революция», 1922, VIII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Его же, «Молодая гвардия», 1923, I (отзывы о «Пушкинской студии»)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>
        <w:t xml:space="preserve"> </w:t>
      </w:r>
      <w:r w:rsidRPr="000232DA">
        <w:t>Его же, «Печать и революция», 1923, IV (отзыв на «Старорусскую повесть»)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Его же, «Печать и революция», 1923, VI (отзыв о семинарии «Островский»)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Дегтеревский И., «Жизнь», 1923, III (отзыв о книге «Грибоедов и Мольер»)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Гим — б Б., «Известия ВЦИК», 1922, № 289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Фатов Н. Н., «Печать и революция», 1923, VII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Глаголев Арк., «Красная новь», 1925, IV, и др. (отзывы о «Двух веках русской литературы»)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Глаголев А., «Новый мир», 1926, XII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Нейман Б., «Книгоноша», 1926, XXI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Бродский Н., «Печать и революция», 1927, I (отзывы о кн. «Грибоедов и старое барство»)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Гудзий Н. К., «Красная новь», 1928, IV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Бельчиков Н. Ф., «Печать и революция», 1928, III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И. Я., «Звезда», 1928, V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Казаринов П., «Сибирские огни», 1928, 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Гревс И. М., «Краеведение», 1928, VI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Азадовский М., »Советская Азия», 1930, I—II, и др. (отзывы об «Областных культурных гнездах»)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Глаголев А., «Книга и революция», 1929, XV—XVI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Замошкин Н., «Новый мир», 1929, VI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Бабух С., «На литературном посту», 1929, VIII (ср. ответ Пиксанова, там же, 1929, XI)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Рыжиков П., там же, 1929, X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Архангельский В., «Печать и революция», 1930, I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Сакулин П. Н., «Известия Академии наук СССР, Отделение гуманитарных наук», 1930, № 3, и др. (отзывы о «Творческой истории „Горя от ума“»)</w:t>
      </w:r>
      <w:r>
        <w:t xml:space="preserve"> </w:t>
      </w:r>
    </w:p>
    <w:p w:rsidR="001733EC" w:rsidRPr="000232DA" w:rsidRDefault="001733EC" w:rsidP="001733EC">
      <w:pPr>
        <w:spacing w:before="120"/>
        <w:ind w:firstLine="567"/>
        <w:jc w:val="both"/>
      </w:pPr>
      <w:r w:rsidRPr="000232DA">
        <w:t xml:space="preserve">Сергиевский И., «Литературный критик», 1933, II (отзыв на сб. «О классиках» — ср. ответ Пиксанова, там же, 1933, VII). </w:t>
      </w:r>
    </w:p>
    <w:p w:rsidR="001733EC" w:rsidRDefault="001733EC" w:rsidP="001733EC">
      <w:pPr>
        <w:spacing w:before="120"/>
        <w:ind w:firstLine="567"/>
        <w:jc w:val="both"/>
      </w:pPr>
      <w:r w:rsidRPr="000232DA">
        <w:t>III. Владиславлев И. В., Русские писатели, изд. 4-е, Гиз, М. — Л., 1924</w:t>
      </w:r>
      <w:r>
        <w:t xml:space="preserve"> </w:t>
      </w:r>
    </w:p>
    <w:p w:rsidR="001733EC" w:rsidRDefault="001733EC" w:rsidP="001733EC">
      <w:pPr>
        <w:spacing w:before="120"/>
        <w:ind w:firstLine="567"/>
        <w:jc w:val="both"/>
        <w:rPr>
          <w:lang w:val="en-US"/>
        </w:rPr>
      </w:pPr>
      <w:r w:rsidRPr="000232DA">
        <w:t xml:space="preserve">Писатели современной эпохи, т. I, ред. Б. П. Козьмина, изд. ГАХН, М.,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3EC"/>
    <w:rsid w:val="00002B5A"/>
    <w:rsid w:val="000232DA"/>
    <w:rsid w:val="0010437E"/>
    <w:rsid w:val="001733EC"/>
    <w:rsid w:val="00316F32"/>
    <w:rsid w:val="00616072"/>
    <w:rsid w:val="006A5004"/>
    <w:rsid w:val="00710178"/>
    <w:rsid w:val="0073784D"/>
    <w:rsid w:val="008B35EE"/>
    <w:rsid w:val="00905CC1"/>
    <w:rsid w:val="00AE2C05"/>
    <w:rsid w:val="00B42C45"/>
    <w:rsid w:val="00B47B6A"/>
    <w:rsid w:val="00E3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769C29-29BB-4199-9BB8-6B086C2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73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Пиксанов</vt:lpstr>
    </vt:vector>
  </TitlesOfParts>
  <Company>Home</Company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Пиксанов</dc:title>
  <dc:subject/>
  <dc:creator>User</dc:creator>
  <cp:keywords/>
  <dc:description/>
  <cp:lastModifiedBy>admin</cp:lastModifiedBy>
  <cp:revision>2</cp:revision>
  <dcterms:created xsi:type="dcterms:W3CDTF">2014-02-15T02:16:00Z</dcterms:created>
  <dcterms:modified xsi:type="dcterms:W3CDTF">2014-02-15T02:16:00Z</dcterms:modified>
</cp:coreProperties>
</file>