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33" w:rsidRDefault="006D6433">
      <w:pPr>
        <w:pStyle w:val="1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наука на пороге третьего тысячелетия</w:t>
      </w:r>
    </w:p>
    <w:p w:rsidR="006D6433" w:rsidRDefault="006D643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следам события</w:t>
      </w:r>
    </w:p>
    <w:p w:rsidR="006D6433" w:rsidRDefault="006D64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 Вряд ли кто усомнится в том, что по значимости изменений, происшедших с человеком и обществом, никакой век не сравнится с уходящим. А в ХХI веке, нам, похоже, предстоит жить в новом — информационном — обществе. Обусловили эту поистине глобальную перемену два основных фактора — образование и наука, которые в канун смены тысячелетий сами заметно меняются.</w:t>
      </w:r>
    </w:p>
    <w:p w:rsidR="006D6433" w:rsidRDefault="006D64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же в перспективе видят их философы, педагоги, социологи, культурологи? Об этом четыре дня размышляли участники Международного конгресса «Образование и наука на пороге третьего тысячелетия», прошедшего в октябре в Минске. Его организовали министерства образования и академии наук России и Беларуси при поддержке ЮНЕСКО.</w:t>
      </w:r>
      <w:r>
        <w:rPr>
          <w:rFonts w:ascii="Times New Roman" w:hAnsi="Times New Roman" w:cs="Times New Roman"/>
          <w:sz w:val="24"/>
          <w:szCs w:val="24"/>
        </w:rPr>
        <w:br/>
        <w:t xml:space="preserve">Основной формой работы Конгресса стали секционные заседания — настолько широк был круг обсуждавшихся вопросов. </w:t>
      </w:r>
    </w:p>
    <w:p w:rsidR="006D6433" w:rsidRDefault="006D64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лишь некоторые из них: «Гуманизация науки и образования — тенденция ХХI века», «Экологическое образование на рубеже веков», «Элитное и массовое образование», «Наука и лженаука», «Национальные традиции, культура и единство образовательного пространства». </w:t>
      </w:r>
    </w:p>
    <w:p w:rsidR="006D6433" w:rsidRDefault="006D64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постмодернизма в образовании до богословского наследия отца Александра Меня, от взаимоотношения фундаментальных наук и образования до влияния информационных технологий на психическое здоровье человека — все нашло отражение в выступлениях. В двухтомных тезисах — около 700 сообщений. Многие из них читаются, по выражению одного из участников Конгресса, как «захватывающие и фантастические прогнозы». Впрочем, издание это, мягко говоря, неоднородно. Дело в том, что составители включили в него и фундаментальные сообщения маститых ученых, и опусы аспирантов и даже студентов. Так что уровень проблематики и обсуждения подчас, как говорится, оставляет желать... Количество здесь, увы, не перешло в качество...</w:t>
      </w:r>
    </w:p>
    <w:p w:rsidR="006D6433" w:rsidRDefault="006D64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выступлениях не раз звучал тезис о закате классно-урочной системы великого педагога Я.А. Коменского, господствующей в мировой педагогике с XVII века, и замене ее дистанционным и виртуальным обучением, когда от ученика требуется лишь знать «правила игры», а роль педагога сведена к постановке и обслуживанию компьютерных игр и задач. Эту перспективу прокомментировал на Конгрессе доктор философских наук, профессор Казанского университета В.И. Курашов, подчеркнувший, что отношения «учитель — ученик» не заменить никакими виртуальными методами обучения: «Как бы ни развивались информационные технологии, компьютер не сможет заменить реального педагога по одной простой причине. Ибо задача первого — сообщать знания, информацию. Тогда как второй учит извлекать их. А главное — нечем заменить сам процесс общения живых людей. Ведь тот же Интернет — это, по сути, наш разговор с совершенно отвлеченной субстанцией, проще говоря, ни с кем».Что же касается экологической секции Конгресса, то большинство ее участников безуспешно пытались дать точное определение экологии как науки, спорили о том, нужно ли изучать экологию в школе и с какого возраста, но к конкретным решениям, которые могли бы стать рекомендациями для органов образования и преподавателей, так и не пришли. На этом достаточно схоластическом фоне выделялись интересные сообщения об экологических «экспериментах» на уроках трудового обучения и географии, проводимых в отдельных школах Беларуси.</w:t>
      </w:r>
    </w:p>
    <w:p w:rsidR="006D6433" w:rsidRDefault="006D64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на Конгрессе было много общих компилятивных докладов, чем часто грешат подобные «образовательные» мероприятия. Но было и несколько ярких выступлений. В частности, директор Физико-технического института им. А.Ф. Иоффе РАН в Санкт-Петербурге, академик РАН Ж.И. Алферов (через неделю после завершения Конгресса удостоенный высшей научной награды — Нобелевской премии) рассказал об опыте сотрудничества академического института и вуза. В этом же ряду было выступление президента Национальной академии наук Украины Б.Е. Патона об интеграционных и дезинтеграционных процессах между научно-исследовательскими учреждениями в странах СНГ. </w:t>
      </w:r>
    </w:p>
    <w:p w:rsidR="006D6433" w:rsidRDefault="006D643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Сильное впечатление произвел и концептуальный доклад директора Института философии РАН, академика РАН В.С. Степина, затронувшего проблему смены ценностных парадигм в образовании. В контекст диалога культур, народов и стран им было введено новое действующее лицо — «человек договаривающийся» (специально подготовленный для популярного издания вариант этого доклада был опубликован в журнале «Экология и жизнь», № 4, 2000).И все же подлинного прорыва к новым идеям и технологиям, серьезных прогнозов развития науки и образования на Конгрессе не было. Похоже, все это откладывается на новое тысячелетие</w:t>
      </w:r>
    </w:p>
    <w:p w:rsidR="006D6433" w:rsidRDefault="006D6433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:</w:t>
      </w:r>
    </w:p>
    <w:p w:rsidR="006D6433" w:rsidRDefault="006D6433">
      <w:pPr>
        <w:ind w:firstLine="567"/>
        <w:jc w:val="both"/>
        <w:rPr>
          <w:sz w:val="16"/>
          <w:szCs w:val="16"/>
          <w:lang w:val="en-US"/>
        </w:rPr>
      </w:pPr>
    </w:p>
    <w:p w:rsidR="006D6433" w:rsidRDefault="006D643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Журнал </w:t>
      </w:r>
      <w:r>
        <w:rPr>
          <w:sz w:val="24"/>
          <w:szCs w:val="24"/>
          <w:lang w:val="en-US"/>
        </w:rPr>
        <w:t>"</w:t>
      </w:r>
      <w:r>
        <w:rPr>
          <w:sz w:val="24"/>
          <w:szCs w:val="24"/>
        </w:rPr>
        <w:t>Экология и жизнь</w:t>
      </w:r>
      <w:r>
        <w:rPr>
          <w:sz w:val="24"/>
          <w:szCs w:val="24"/>
          <w:lang w:val="en-US"/>
        </w:rPr>
        <w:t xml:space="preserve">". </w:t>
      </w:r>
      <w:r>
        <w:rPr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С.В. Балышева,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В.В. Масик.</w:t>
      </w:r>
      <w:bookmarkStart w:id="0" w:name="_GoBack"/>
      <w:bookmarkEnd w:id="0"/>
    </w:p>
    <w:sectPr w:rsidR="006D643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637"/>
    <w:rsid w:val="001342B2"/>
    <w:rsid w:val="00482637"/>
    <w:rsid w:val="006D6433"/>
    <w:rsid w:val="009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C98115-C9AC-4517-8421-6D584B49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Verdana" w:hAnsi="Verdana" w:cs="Verdana"/>
      <w:b/>
      <w:bCs/>
      <w:color w:val="006A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и наука на пороге третьего тысячелетия</vt:lpstr>
    </vt:vector>
  </TitlesOfParts>
  <Company>KM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и наука на пороге третьего тысячелетия</dc:title>
  <dc:subject/>
  <dc:creator>N/A</dc:creator>
  <cp:keywords/>
  <dc:description/>
  <cp:lastModifiedBy>admin</cp:lastModifiedBy>
  <cp:revision>2</cp:revision>
  <dcterms:created xsi:type="dcterms:W3CDTF">2014-01-27T18:39:00Z</dcterms:created>
  <dcterms:modified xsi:type="dcterms:W3CDTF">2014-01-27T18:39:00Z</dcterms:modified>
</cp:coreProperties>
</file>