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P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  <w:r w:rsidRPr="00301FA5">
        <w:rPr>
          <w:sz w:val="28"/>
          <w:szCs w:val="28"/>
        </w:rPr>
        <w:t>Доклад по предмету:</w:t>
      </w:r>
    </w:p>
    <w:p w:rsid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  <w:r w:rsidRPr="00301FA5">
        <w:rPr>
          <w:sz w:val="28"/>
          <w:szCs w:val="28"/>
        </w:rPr>
        <w:t>«История Молдавии».</w:t>
      </w:r>
    </w:p>
    <w:p w:rsidR="00301FA5" w:rsidRPr="00301FA5" w:rsidRDefault="00301FA5" w:rsidP="00301FA5">
      <w:pPr>
        <w:pStyle w:val="a3"/>
        <w:spacing w:line="360" w:lineRule="auto"/>
        <w:ind w:left="720"/>
        <w:jc w:val="center"/>
        <w:rPr>
          <w:sz w:val="28"/>
          <w:szCs w:val="28"/>
          <w:lang w:val="uk-UA"/>
        </w:rPr>
      </w:pPr>
    </w:p>
    <w:p w:rsidR="00301FA5" w:rsidRPr="00301FA5" w:rsidRDefault="00301FA5" w:rsidP="00301FA5">
      <w:pPr>
        <w:pStyle w:val="3"/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301FA5">
        <w:rPr>
          <w:b/>
          <w:bCs/>
          <w:sz w:val="28"/>
          <w:szCs w:val="28"/>
        </w:rPr>
        <w:t>Общественно-политическое и революционное движение в Молдавии в пореформенный п</w:t>
      </w:r>
      <w:r w:rsidR="00F70BB6">
        <w:rPr>
          <w:b/>
          <w:bCs/>
          <w:sz w:val="28"/>
          <w:szCs w:val="28"/>
        </w:rPr>
        <w:t>ериод</w:t>
      </w:r>
    </w:p>
    <w:p w:rsidR="00F70BB6" w:rsidRDefault="00301FA5" w:rsidP="00F70BB6">
      <w:pPr>
        <w:spacing w:line="360" w:lineRule="auto"/>
        <w:ind w:left="708"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0BB6" w:rsidRDefault="00F70BB6" w:rsidP="00F70BB6">
      <w:pPr>
        <w:spacing w:line="360" w:lineRule="auto"/>
        <w:ind w:left="708" w:firstLine="1"/>
        <w:jc w:val="both"/>
        <w:rPr>
          <w:sz w:val="28"/>
          <w:szCs w:val="28"/>
        </w:rPr>
      </w:pPr>
    </w:p>
    <w:p w:rsidR="00301FA5" w:rsidRDefault="00301FA5" w:rsidP="00F70BB6">
      <w:pPr>
        <w:spacing w:line="360" w:lineRule="auto"/>
        <w:ind w:left="708" w:firstLine="1"/>
        <w:jc w:val="both"/>
        <w:rPr>
          <w:sz w:val="28"/>
          <w:szCs w:val="28"/>
          <w:lang w:val="uk-UA"/>
        </w:rPr>
      </w:pPr>
      <w:r w:rsidRPr="00301FA5">
        <w:rPr>
          <w:sz w:val="28"/>
          <w:szCs w:val="28"/>
        </w:rPr>
        <w:br w:type="page"/>
      </w:r>
      <w:r w:rsidR="007D4328" w:rsidRPr="00301FA5">
        <w:rPr>
          <w:b/>
          <w:bCs/>
          <w:sz w:val="28"/>
          <w:szCs w:val="28"/>
          <w:u w:val="single"/>
        </w:rPr>
        <w:t>Общая характеристика.</w:t>
      </w:r>
    </w:p>
    <w:p w:rsidR="00301FA5" w:rsidRDefault="00301FA5" w:rsidP="00301FA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В середине 50-х гг. </w:t>
      </w:r>
      <w:r w:rsidRPr="00301FA5">
        <w:rPr>
          <w:sz w:val="28"/>
          <w:szCs w:val="28"/>
          <w:lang w:val="en-US"/>
        </w:rPr>
        <w:t>XIX</w:t>
      </w:r>
      <w:r w:rsidRPr="00301FA5">
        <w:rPr>
          <w:sz w:val="28"/>
          <w:szCs w:val="28"/>
        </w:rPr>
        <w:t xml:space="preserve"> в.,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 xml:space="preserve">особенно после поражения царизма в Крымской войне, в России, в том числе и в Молдавии, наблюдается революционный подъем. 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крае распространялись идеи революционеров-демократов – идеологов крестьянства. Журналы «Современник», «Отечественные записки», «Колокол» в период революционной ситуации превратились в трибуну революционеров-демократов, которые пропагандировали свои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 xml:space="preserve">идеи и боролись против царизма, за освобождение крестьян. Н. Г. Чернышевский отмечал, что с </w:t>
      </w:r>
      <w:smartTag w:uri="urn:schemas-microsoft-com:office:smarttags" w:element="metricconverter">
        <w:smartTagPr>
          <w:attr w:name="ProductID" w:val="1855 г"/>
        </w:smartTagPr>
        <w:r w:rsidRPr="00301FA5">
          <w:rPr>
            <w:sz w:val="28"/>
            <w:szCs w:val="28"/>
          </w:rPr>
          <w:t>1855 г</w:t>
        </w:r>
      </w:smartTag>
      <w:r w:rsidRPr="00301FA5">
        <w:rPr>
          <w:sz w:val="28"/>
          <w:szCs w:val="28"/>
        </w:rPr>
        <w:t>. журнал «Современник» «приобрел право требовать доверия публики». В крае журнал распространялся в 21 населенном пункте, на его страницах были напечатаны материалы об аграрных отношениях в молдавском селе. «Колокол» Герцена подвергал резкой критике помещиков за их позицию в вопросе освобождении крепостных цыган.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863 г"/>
        </w:smartTagPr>
        <w:r w:rsidRPr="00301FA5">
          <w:rPr>
            <w:sz w:val="28"/>
            <w:szCs w:val="28"/>
          </w:rPr>
          <w:t>1863 г</w:t>
        </w:r>
      </w:smartTag>
      <w:r w:rsidRPr="00301FA5">
        <w:rPr>
          <w:sz w:val="28"/>
          <w:szCs w:val="28"/>
        </w:rPr>
        <w:t>. в Кишиневе распространялись воззвания русских революционных демократов организации «Земля и воля», их листок под заглавием «Свобода».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пореформенный период, особенно во время проведения крестьянской реформы, в Молдавии усиливается революционное движение. Борьба крестьян и рабочих, общественное движение здесь были составной частью общероссийского революционного движения. В общей борьбе против эксплуатации и царизма участвовали многие проживающие здесь национальности и народности. Местная разночинная молодежь входила в народнические кружки России, а российские революционеры оказывали помощь местным демократическим силам в организации нелегальных кружков и снабжении их литературой.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b/>
          <w:bCs/>
          <w:sz w:val="28"/>
          <w:szCs w:val="28"/>
          <w:u w:val="single"/>
        </w:rPr>
        <w:t>Крестьянское движение.</w:t>
      </w:r>
      <w:r w:rsidRPr="00301FA5">
        <w:rPr>
          <w:sz w:val="28"/>
          <w:szCs w:val="28"/>
        </w:rPr>
        <w:t xml:space="preserve"> Реформа </w:t>
      </w:r>
      <w:smartTag w:uri="urn:schemas-microsoft-com:office:smarttags" w:element="metricconverter">
        <w:smartTagPr>
          <w:attr w:name="ProductID" w:val="1861 г"/>
        </w:smartTagPr>
        <w:r w:rsidRPr="00301FA5">
          <w:rPr>
            <w:sz w:val="28"/>
            <w:szCs w:val="28"/>
          </w:rPr>
          <w:t>1861 г</w:t>
        </w:r>
      </w:smartTag>
      <w:r w:rsidRPr="00301FA5">
        <w:rPr>
          <w:sz w:val="28"/>
          <w:szCs w:val="28"/>
        </w:rPr>
        <w:t xml:space="preserve">. и борьба крестьян России против её грабительского характера оказали большое влияние на аграрное движение в Молдавии. В период подготовки и проведения крестьянской реформы 60-80-х гг. в молдавской деревне обостряются классовые противоречия. Царане, резеши, государственные крестьяне выступали против помещиков и царского самодержавия. С 1861 по </w:t>
      </w:r>
      <w:smartTag w:uri="urn:schemas-microsoft-com:office:smarttags" w:element="metricconverter">
        <w:smartTagPr>
          <w:attr w:name="ProductID" w:val="1868 г"/>
        </w:smartTagPr>
        <w:r w:rsidRPr="00301FA5">
          <w:rPr>
            <w:sz w:val="28"/>
            <w:szCs w:val="28"/>
          </w:rPr>
          <w:t>1868 г</w:t>
        </w:r>
      </w:smartTag>
      <w:r w:rsidRPr="00301FA5">
        <w:rPr>
          <w:sz w:val="28"/>
          <w:szCs w:val="28"/>
        </w:rPr>
        <w:t>. в крае произошло 46 крестьянских волнений, охвативших почти все уезды. Некоторые волнения подавлялись армией и полицейскими отрядами.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Крестьяне, проживавшие на помещичьих и монастырских землях, выступали против барщины и феодальных повинностей. Из всех уездов поступали сообщения, что царане отказываются отрабатывать барщину и вносить дижму (десятину). Отказ от феодальных повинностей был наиболее распространенной формой аграрного движения.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Царане, проживавшие на помещичьих землях, отрабатывали барщину и другие повинности по контрактам, заключенным на основании «Положения о царанах 1834 года», и «Нормальному контракту 1846 года». После издания «положения о царанах от 14 июля 1868 года» крестьяне стали заявлять, что прежние аграрные правила не имеют законной силы и они все освобождаются от барщины и дижмы. Царане захватывали землю помещиков, отказывались от выполнения барщины.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60-70-х гг. обостряется классовая борьба резешей. К 1871 году из 35 тыс. резешских сел было резешей-царан 23,2 тыс. (66,3%), других сословий – 9,2 тыс.(26,2%) и безземельных царан – 2,6 тыс.(7,5%). Значительная часть резешей находилась в более по сравнения с царанами и государственными крестьянами положении. Резеши требовали наделения их землёй, ограждения общины от захватов земли помещиками и зажиточными односельчанами.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период проведения реформы (1868-1872) возникли новые формы крестьянской борьбы: отказ от заключений уставных грамот, в которых оговаривались условия наделения землёй, от выборов представителей в общественные учреждения, требование о дополнительном наделе. За указанные годы произошло более 87 крестьянских волнений, из которых 41 было подавлено войсками. В последующие годы крестьянское движение в крае не затихло.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Массовое крестьянское движение в Молдавии явилось составной частью общероссийского аграрного движения и было направлено против гнёта царского самодержавия и помещиков. Оно расчищала путь буржуазному развитию страны.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b/>
          <w:bCs/>
          <w:sz w:val="28"/>
          <w:szCs w:val="28"/>
          <w:u w:val="single"/>
        </w:rPr>
        <w:t>Рабочее движение.</w:t>
      </w:r>
      <w:r w:rsidRPr="00301FA5">
        <w:rPr>
          <w:sz w:val="28"/>
          <w:szCs w:val="28"/>
        </w:rPr>
        <w:t xml:space="preserve"> С развитием капиталистических отношений формируется рабочий класс. Его численность была небольшой , а положение крайне тяжелым 6 низкая заработная плата, отсутствие охраны труда и медицинского надзора. Предприниматели не несли никакой ответственности за увечья рабочих. В </w:t>
      </w:r>
      <w:smartTag w:uri="urn:schemas-microsoft-com:office:smarttags" w:element="metricconverter">
        <w:smartTagPr>
          <w:attr w:name="ProductID" w:val="1860 г"/>
        </w:smartTagPr>
        <w:r w:rsidRPr="00301FA5">
          <w:rPr>
            <w:sz w:val="28"/>
            <w:szCs w:val="28"/>
          </w:rPr>
          <w:t>1860 г</w:t>
        </w:r>
      </w:smartTag>
      <w:r w:rsidRPr="00301FA5">
        <w:rPr>
          <w:sz w:val="28"/>
          <w:szCs w:val="28"/>
        </w:rPr>
        <w:t>. в связи с обсуждением проекта «Правил для фабрик и заводов» обследовалось положение пролетариев края. Комиссия установила, что на ремесленно-кустарных предприятиях широко используется детский труд, и предлагала запретить его в мастерских, употребляющих «материалы вредные для здоровья». Кроме того, предлагалось учредить фабричную инспекцию. Хотя эти меры не были осуществлены, тем не менее само обсуждение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>вопроса об условиях труда уже свидетельствовало,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>что перед господствующими классами встал рабочий вопрос.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70-х гг. в Молдавии зарождается рабочее движение, которое прошло путь от недовольства и стихийного протеста отдельных рабочих до стачек. В 1871 году на строительстве Тираспольско-Кишинёвской железной дороги в знак протеста против произвола подрядчиков и администрации рабочие прекратили работу и партиями уходили со строительства, а оставшиеся организовывали стачку. Они выдвинули требования производить оплату труда ежемесячно, а не по числу рабочих дней, прекратить перевод рабочих с одной линии на другую без их согласия, улучшить питание и др. В ходе стачки рабочие добились удовлетворению основных требований и приступили к работе.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В мае </w:t>
      </w:r>
      <w:smartTag w:uri="urn:schemas-microsoft-com:office:smarttags" w:element="metricconverter">
        <w:smartTagPr>
          <w:attr w:name="ProductID" w:val="1872 г"/>
        </w:smartTagPr>
        <w:r w:rsidRPr="00301FA5">
          <w:rPr>
            <w:sz w:val="28"/>
            <w:szCs w:val="28"/>
          </w:rPr>
          <w:t>1872 г</w:t>
        </w:r>
      </w:smartTag>
      <w:r w:rsidRPr="00301FA5">
        <w:rPr>
          <w:sz w:val="28"/>
          <w:szCs w:val="28"/>
        </w:rPr>
        <w:t xml:space="preserve">. вспыхнула стачка на участке строительства железной дороги в районе Корнешт, где находилось свыше 1500 рабочих. Они потребовали улучшений условий труда и повышения заработной платы. После отказа администрации удовлетворить их требования рабочие направились в Кишинёв. По пути их встретили казаки. Руководители стачки Я. Бабков, А. Гурьев и другие были арестованы, остальные возвращены на место работы. Примерно такого же характера была и стачка </w:t>
      </w:r>
      <w:smartTag w:uri="urn:schemas-microsoft-com:office:smarttags" w:element="metricconverter">
        <w:smartTagPr>
          <w:attr w:name="ProductID" w:val="1875 г"/>
        </w:smartTagPr>
        <w:r w:rsidRPr="00301FA5">
          <w:rPr>
            <w:sz w:val="28"/>
            <w:szCs w:val="28"/>
          </w:rPr>
          <w:t>1875 г</w:t>
        </w:r>
      </w:smartTag>
      <w:r w:rsidRPr="00301FA5">
        <w:rPr>
          <w:sz w:val="28"/>
          <w:szCs w:val="28"/>
        </w:rPr>
        <w:t>. в этом районе.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Первые стачки рабочих Молдавии носили стихийный, малоорганизованный характер, но они положили начало рабочему движению и этим сыграли свою роль. В </w:t>
      </w:r>
      <w:smartTag w:uri="urn:schemas-microsoft-com:office:smarttags" w:element="metricconverter">
        <w:smartTagPr>
          <w:attr w:name="ProductID" w:val="1880 г"/>
        </w:smartTagPr>
        <w:r w:rsidRPr="00301FA5">
          <w:rPr>
            <w:sz w:val="28"/>
            <w:szCs w:val="28"/>
          </w:rPr>
          <w:t>1880 г</w:t>
        </w:r>
      </w:smartTag>
      <w:r w:rsidRPr="00301FA5">
        <w:rPr>
          <w:sz w:val="28"/>
          <w:szCs w:val="28"/>
        </w:rPr>
        <w:t>. народник Ф. Дениш организовал в Кишинёве среди железнодорожников первый пролетарский кружок, который уделял большое внимание революционной пропаганде. В него входило 25-30 рабочих. На занятиях читали народническую литературу: журналы «Община», «Вперед», «Набат», произведения В. Г. Белинского и Н. Г. Чернышевского. Для оказания помощи железнодорожникам на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>станции Кишинёв была создана ссудно-сберегательная касса. В связи с арестом народовольцев кружок распался.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b/>
          <w:bCs/>
          <w:sz w:val="28"/>
          <w:szCs w:val="28"/>
          <w:u w:val="single"/>
        </w:rPr>
        <w:t xml:space="preserve">Революционное народничество. </w:t>
      </w:r>
      <w:r w:rsidRPr="00301FA5">
        <w:rPr>
          <w:sz w:val="28"/>
          <w:szCs w:val="28"/>
        </w:rPr>
        <w:t>С возникновением первых народнических кружков в Кишинёве и других городах стали всё чаще появляться листовки, и прокламации и другая нелегальная литература.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Важную роль в распространении народнических идей сыграли воскресные школы, читальни и библиотеки. По примеру Петербурга, Киева и других городов были открыты воскресные школы в Кишиневе, Бендерах, Хотине и Оргееве. Возникновение воскресных школ для народа демократически настроенных слоёв общества. Эти школы не только обучали грамоте, но и распространяли передовые идеи.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В 60-70-х гг. появляются народнические кружки в Петербурге, Москве, Киеве, Одессе и других городах. В </w:t>
      </w:r>
      <w:smartTag w:uri="urn:schemas-microsoft-com:office:smarttags" w:element="metricconverter">
        <w:smartTagPr>
          <w:attr w:name="ProductID" w:val="1876 г"/>
        </w:smartTagPr>
        <w:r w:rsidRPr="00301FA5">
          <w:rPr>
            <w:sz w:val="28"/>
            <w:szCs w:val="28"/>
          </w:rPr>
          <w:t>1876 г</w:t>
        </w:r>
      </w:smartTag>
      <w:r w:rsidRPr="00301FA5">
        <w:rPr>
          <w:sz w:val="28"/>
          <w:szCs w:val="28"/>
        </w:rPr>
        <w:t xml:space="preserve">. оформилась наиболее крупная революционная организация «Земля и воля». Лучшие представители молдавского народа принимали активное участие в народнических организациях и кружках. В </w:t>
      </w:r>
      <w:smartTag w:uri="urn:schemas-microsoft-com:office:smarttags" w:element="metricconverter">
        <w:smartTagPr>
          <w:attr w:name="ProductID" w:val="1865 г"/>
        </w:smartTagPr>
        <w:r w:rsidRPr="00301FA5">
          <w:rPr>
            <w:sz w:val="28"/>
            <w:szCs w:val="28"/>
          </w:rPr>
          <w:t>1865 г</w:t>
        </w:r>
      </w:smartTag>
      <w:r w:rsidRPr="00301FA5">
        <w:rPr>
          <w:sz w:val="28"/>
          <w:szCs w:val="28"/>
        </w:rPr>
        <w:t>. З. Арбрре-Ралли был членом студенческих кружков Москвы, связанных с кружками петербургских народников. В народнические кружки Петербурга входили студенты А. И С. Урсати, М. Негрескул. Последний пользовался большой популярностью среди демократической интеллигенции, группировавшееся вокруг П. Л. Лаврова – одного из идеологов народничества пропагандистского направления. М. Негрескул поддерживал широкие связи с известными деятелями революционного движения: Г. А. Лопатиным, Н. Ф. Даниельсоном, А. И. Герценом , Н. А. Огаревым и др.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Петербурге принимал участие в работе народнического кружка Н. П. Зубку-Кодряну, а в Одессе – Л. Дическул, А. и И. Тефтул. В народническом движении России принимали активное участие более 70 человек из Молдавии.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Активное участие представителей местной интеллигенции в российском общественно-политическом движении подготовило почву для распространения идей революционного народничества в крае и организации здесь народнических кружков.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b/>
          <w:bCs/>
          <w:sz w:val="28"/>
          <w:szCs w:val="28"/>
          <w:u w:val="single"/>
        </w:rPr>
        <w:t>Народнические кружки в Молдавии.</w:t>
      </w:r>
      <w:r w:rsidRPr="00301FA5">
        <w:rPr>
          <w:sz w:val="28"/>
          <w:szCs w:val="28"/>
        </w:rPr>
        <w:t xml:space="preserve"> Замечательной страницей укрепления русско-украинско-молдавских революционных связей является сотрудничество Н. Зубку-Кодряну, Г. Здановича, М. Негрескула с известными деятелями революционного движения Г. Лопатиным, А. Желябовым и др. М. Негрескул участвовал в кружке Г. Лопатина «Рублёвое общество», а потом организовал самостоятельный кружок под названием «Кружок Негрескула» в Петербурге.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Важную роль в народническом движении сыграл Н. П. Зубку-Кодряну, который по заданию петербургских народников эмигрировал в Румынию с целью транспортировки нелегальной литературы в Россию. Он поддерживал постоянную связь с народническими кружками России и русской эмиграции в Женеве.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Первый кружок местных революционеров-демократов был организован Н. П. Зубку-Кодряну в </w:t>
      </w:r>
      <w:smartTag w:uri="urn:schemas-microsoft-com:office:smarttags" w:element="metricconverter">
        <w:smartTagPr>
          <w:attr w:name="ProductID" w:val="1874 г"/>
        </w:smartTagPr>
        <w:r w:rsidRPr="00301FA5">
          <w:rPr>
            <w:sz w:val="28"/>
            <w:szCs w:val="28"/>
          </w:rPr>
          <w:t>1874 г</w:t>
        </w:r>
      </w:smartTag>
      <w:r w:rsidRPr="00301FA5">
        <w:rPr>
          <w:sz w:val="28"/>
          <w:szCs w:val="28"/>
        </w:rPr>
        <w:t>. в Кишинёве. Кружок занимался подготовкой кадров народников-революционеров для пропаганды среди крестьян и переправкой литературы из-за границы для народнических кружков России и Украины.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Распространение идей народников среди учащейся молодёжи и прогрессивной интеллигенции, хождения в народ создали условия для организации новых народнических кружков. В </w:t>
      </w:r>
      <w:smartTag w:uri="urn:schemas-microsoft-com:office:smarttags" w:element="metricconverter">
        <w:smartTagPr>
          <w:attr w:name="ProductID" w:val="1877 г"/>
        </w:smartTagPr>
        <w:r w:rsidRPr="00301FA5">
          <w:rPr>
            <w:sz w:val="28"/>
            <w:szCs w:val="28"/>
          </w:rPr>
          <w:t>1877 г</w:t>
        </w:r>
      </w:smartTag>
      <w:r w:rsidRPr="00301FA5">
        <w:rPr>
          <w:sz w:val="28"/>
          <w:szCs w:val="28"/>
        </w:rPr>
        <w:t xml:space="preserve">. в Байрамчской гимназии Аккерманского уезда был организован народнический кружок Сокольского, в котором учащаяся молодёжь изучала народническую литературу. Более многочисленным был кишинёвский кружок организованный К. Урсулом и А. Фрунзой в </w:t>
      </w:r>
      <w:smartTag w:uri="urn:schemas-microsoft-com:office:smarttags" w:element="metricconverter">
        <w:smartTagPr>
          <w:attr w:name="ProductID" w:val="1878 г"/>
        </w:smartTagPr>
        <w:r w:rsidRPr="00301FA5">
          <w:rPr>
            <w:sz w:val="28"/>
            <w:szCs w:val="28"/>
          </w:rPr>
          <w:t>1878 г</w:t>
        </w:r>
      </w:smartTag>
      <w:r w:rsidRPr="00301FA5">
        <w:rPr>
          <w:sz w:val="28"/>
          <w:szCs w:val="28"/>
        </w:rPr>
        <w:t>. В него входило свыше 20 человек. Кружок регулярно проводил собрания (сходки), где обсуждалось положение крестьян. Члены кружка распространяли революционную литературу среди учащихся Кишинёва, расклеивали листовки, революционные прокламации, занимались транспортировкой нелегальной литературы.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Народнические кружки Молдавии были связаны с такими же кружками Петербурга, Москвы, Одессы, а также с русской политической эмиграцией, осуществлявшей транспортировку нелегальной литературы: журналов «Вперёд», «Работник», «Община», произведений Чернышевского и Герцена. Члены народнических кружков распространяли прокламации «Земли и воли», «Народной воли», а в конце 70-х гг. развернули агитацию и среди рабочего класса Молдавии.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Представители молдавского народничества совместно с русскими, украинскими и народниками других национальностей вели активную борьбу за освобождение народов России от социального и национального гнёта.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На рубеже 80-х гг. </w:t>
      </w:r>
      <w:r w:rsidRPr="00301FA5">
        <w:rPr>
          <w:sz w:val="28"/>
          <w:szCs w:val="28"/>
          <w:lang w:val="en-US"/>
        </w:rPr>
        <w:t>XIX</w:t>
      </w:r>
      <w:r w:rsidRPr="00301FA5">
        <w:rPr>
          <w:sz w:val="28"/>
          <w:szCs w:val="28"/>
        </w:rPr>
        <w:t xml:space="preserve"> в., в период складывания второй революционной ситуации, народническая организация «Земля и воля» распалась на «Народную воля» и «Чёрный передел». Народовольцы перешли к террору, начался период перерождения революционного народничества в либеральное, отражавшее интересы буржуазии. В это время в Молдавии ещё существовали некоторые народнические кружки, которые продолжали революционную борьбу. Однако народничество уже переживало упадок, в общественно-политическом движении возникает социал-демократическое направление, связанное с распространением марксизма и появлением первых рабочих кружков.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b/>
          <w:bCs/>
          <w:sz w:val="28"/>
          <w:szCs w:val="28"/>
          <w:u w:val="single"/>
        </w:rPr>
        <w:t xml:space="preserve">Участие населения края в национально-освободительном движении на Балканах в 70-х гг. </w:t>
      </w:r>
      <w:r w:rsidRPr="00301FA5">
        <w:rPr>
          <w:sz w:val="28"/>
          <w:szCs w:val="28"/>
        </w:rPr>
        <w:t>Национально-освободительная борьба балканских народов была тесно связана с Молдавией. Многие участники этой борьбы проживали здесь и всегда находили сочувствие и поддержку среди населения края. Известный революционер-демократ и поэт Христо Ботев работал учителем в Бессарабии, вёл революционную деятельность, был связан с народническим движением и его представителями: Н. Судзиловским, Н. П. Зубку-Кодряну и др. Он оказывал определённое влияние на развитие освободительного движения в крае.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период русско-турецкой войны 1877-1878 гг. передовые люди России поддерживали борьбу сербов, болгар, черногорцев и других народов Балкан против османского гнёта. Для оказания им помощи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>в России, на Украине и в Молдавии формировались добровольческие отряды, обучение и содержание взяло на себя русское командование. Наряду с другими городами России Кишинёв стал важным центром объединения патриотических сил порабощенных народов Балканских стран. Здесь появились первые формирования болгарского ополчения. В периодической печати того времени в связи с этим отмечалось, что «Кишинёв давно обращал на себя взоры всех людей…» Благодаря поддержке и помощи общественности Молдавии местный болгарский комитет, возглавляемый кишинёвским жителем И. С. Ивановым, создал три болгарские дружины численностью свыше 7 тыс. человек низших чинов и 81 офицер. Командиром ополченцев был назначен генерал Н. Г. Столетов.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Население Молдавии оказывало ополченцам материальную помощь: Деньгами, продовольствием, одеждой. Тысячи добровольцев, направлявшихся в Сербию через Кишинёв, получали в городе обмундирование. В Кишинёве общество Красного Креста готовило для Болгарии братьев милосердия. На территории края были созданы лазареты для раненых воинов.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 xml:space="preserve">В апреле </w:t>
      </w:r>
      <w:smartTag w:uri="urn:schemas-microsoft-com:office:smarttags" w:element="metricconverter">
        <w:smartTagPr>
          <w:attr w:name="ProductID" w:val="1877 г"/>
        </w:smartTagPr>
        <w:r w:rsidRPr="00301FA5">
          <w:rPr>
            <w:sz w:val="28"/>
            <w:szCs w:val="28"/>
          </w:rPr>
          <w:t>1877 г</w:t>
        </w:r>
      </w:smartTag>
      <w:r w:rsidRPr="00301FA5">
        <w:rPr>
          <w:sz w:val="28"/>
          <w:szCs w:val="28"/>
        </w:rPr>
        <w:t>. в Кишинёве, на Рышкановке, состоялся военный парад русской армии, направлявшейся на театр военных действий, в котором приняли участие и болгарские ополченцы, ставший первыми полками возрождавшейся болгарской национальной армии. Болгарские ополченцы вошли в состав передовых отрядов генерала В. И. Гурко, которые сражались под Тырновом и Старой Загорой, на Шипкинском</w:t>
      </w:r>
      <w:r w:rsidR="00301FA5">
        <w:rPr>
          <w:sz w:val="28"/>
          <w:szCs w:val="28"/>
        </w:rPr>
        <w:t xml:space="preserve"> </w:t>
      </w:r>
      <w:r w:rsidRPr="00301FA5">
        <w:rPr>
          <w:sz w:val="28"/>
          <w:szCs w:val="28"/>
        </w:rPr>
        <w:t>перевале и под Плевной.</w:t>
      </w:r>
    </w:p>
    <w:p w:rsidR="007D4328" w:rsidRPr="00301FA5" w:rsidRDefault="007D4328" w:rsidP="00301FA5">
      <w:pPr>
        <w:spacing w:line="360" w:lineRule="auto"/>
        <w:ind w:firstLine="709"/>
        <w:jc w:val="both"/>
        <w:rPr>
          <w:sz w:val="28"/>
          <w:szCs w:val="28"/>
        </w:rPr>
      </w:pPr>
      <w:r w:rsidRPr="00301FA5">
        <w:rPr>
          <w:sz w:val="28"/>
          <w:szCs w:val="28"/>
        </w:rPr>
        <w:t>В русской армии было немало солдат и добровольцев из Молдавии. Воинские части из местных жителей, формировавшиеся в качестве резерва, активно сражались против турецких поработителей, за освобождение болгарского народа. Под Шипкой в составе Подольского полка отличились храбростью молдаване Е. Котюжинский, И. Чебан, Г. Лозан и др.</w:t>
      </w:r>
    </w:p>
    <w:p w:rsidR="007D4328" w:rsidRPr="00301FA5" w:rsidRDefault="007D4328" w:rsidP="00301FA5">
      <w:pPr>
        <w:pStyle w:val="2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01FA5">
        <w:rPr>
          <w:rFonts w:ascii="Times New Roman" w:hAnsi="Times New Roman"/>
          <w:sz w:val="28"/>
          <w:szCs w:val="28"/>
        </w:rPr>
        <w:t>В результате русско-турецкой войны 1877-1878 гг. России была возвращена южная часть Бессарабии с портами на Дунае, что создало благоприятные условия для экономического развития края.</w:t>
      </w:r>
      <w:bookmarkStart w:id="0" w:name="_GoBack"/>
      <w:bookmarkEnd w:id="0"/>
    </w:p>
    <w:sectPr w:rsidR="007D4328" w:rsidRPr="00301FA5" w:rsidSect="00301F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427"/>
    <w:rsid w:val="00301FA5"/>
    <w:rsid w:val="007030A5"/>
    <w:rsid w:val="007D4328"/>
    <w:rsid w:val="00A92D62"/>
    <w:rsid w:val="00B24B9A"/>
    <w:rsid w:val="00B44427"/>
    <w:rsid w:val="00BB0A2C"/>
    <w:rsid w:val="00C24E86"/>
    <w:rsid w:val="00F7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740011-565E-4B30-BFA0-2B4A3C0D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5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jc w:val="both"/>
    </w:pPr>
    <w:rPr>
      <w:rFonts w:ascii="Comic Sans MS" w:hAnsi="Comic Sans MS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Pr>
      <w:sz w:val="5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Mig's Home</Company>
  <LinksUpToDate>false</LinksUpToDate>
  <CharactersWithSpaces>14038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</dc:creator>
  <cp:keywords/>
  <dc:description/>
  <cp:lastModifiedBy>admin</cp:lastModifiedBy>
  <cp:revision>2</cp:revision>
  <dcterms:created xsi:type="dcterms:W3CDTF">2014-03-09T00:52:00Z</dcterms:created>
  <dcterms:modified xsi:type="dcterms:W3CDTF">2014-03-09T00:52:00Z</dcterms:modified>
</cp:coreProperties>
</file>