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BA" w:rsidRDefault="009432BA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Операция деления понятия. Правила и ошибки</w:t>
      </w:r>
    </w:p>
    <w:p w:rsidR="009432BA" w:rsidRDefault="009432BA">
      <w:pPr>
        <w:pStyle w:val="Mystyle"/>
        <w:jc w:val="center"/>
        <w:rPr>
          <w:sz w:val="28"/>
          <w:szCs w:val="28"/>
        </w:rPr>
      </w:pPr>
      <w:bookmarkStart w:id="0" w:name="OCRUncertain334"/>
    </w:p>
    <w:bookmarkEnd w:id="0"/>
    <w:p w:rsidR="009432BA" w:rsidRDefault="009432BA">
      <w:pPr>
        <w:pStyle w:val="Mystyle"/>
      </w:pPr>
      <w:r>
        <w:t>Операция деления существенна для мышления не только потому, что она позволяет решать задачи типа той, которая была упомянута в вышеприведенном диалоге. На основе операции деления строится такая важная для науки, педагогической и учебной практики операция, как классификация. Поэтому рассмотрим операцию деления подробнее.</w:t>
      </w:r>
    </w:p>
    <w:p w:rsidR="009432BA" w:rsidRDefault="009432BA">
      <w:pPr>
        <w:pStyle w:val="Mystyle"/>
      </w:pPr>
      <w:r>
        <w:t>Деление — это логическая операция, раскрывающая объем понятия путем выделения в нем возможных видов объектов.</w:t>
      </w:r>
    </w:p>
    <w:p w:rsidR="009432BA" w:rsidRDefault="009432BA">
      <w:pPr>
        <w:pStyle w:val="Mystyle"/>
      </w:pPr>
      <w:r>
        <w:t xml:space="preserve">Каким образом раскрывается объем понятия? Давайте посмотрим на примере. Так, треугольники можно делить на (1) равносторонние и разносторонние, или, например, (2) на равноугольные и </w:t>
      </w:r>
      <w:bookmarkStart w:id="1" w:name="OCRUncertain351"/>
      <w:r>
        <w:t>разноугольные.</w:t>
      </w:r>
      <w:bookmarkEnd w:id="1"/>
      <w:r>
        <w:t xml:space="preserve"> А можно последнее деление сделать более подробным, т.е. разделить все треугольники (3) на остроугольные, тупоугольные и прямоугольные. Нетрудно заметить, что в основании этих делений лежит некоторый признак, в случае (1) — соотношение сторон треугольника, а в случае (2) — соотношение углов, а в случае (3) — величина углов треугольника. В результате же получается систематический обзор всех предметов, которые содержатся в объеме данного понятия. В нашем примере — в объеме понятия «треугольник».</w:t>
      </w:r>
    </w:p>
    <w:p w:rsidR="009432BA" w:rsidRDefault="009432BA">
      <w:pPr>
        <w:pStyle w:val="Mystyle"/>
      </w:pPr>
      <w:r>
        <w:t>Операция деления, во-первых, обеспечивает доступ к любому интересующему нас виду предметов, содержащемуся в объеме данного понятия, и, во-вторых, приводит рассматриваемое понятие к такой форме, при которой объем этого понятия легко держать в памяти.</w:t>
      </w:r>
    </w:p>
    <w:p w:rsidR="009432BA" w:rsidRDefault="009432BA">
      <w:pPr>
        <w:pStyle w:val="Mystyle"/>
      </w:pPr>
    </w:p>
    <w:p w:rsidR="009432BA" w:rsidRDefault="009432BA">
      <w:pPr>
        <w:pStyle w:val="Mystyle"/>
        <w:rPr>
          <w:b/>
          <w:bCs/>
        </w:rPr>
      </w:pPr>
      <w:r>
        <w:rPr>
          <w:b/>
          <w:bCs/>
        </w:rPr>
        <w:t>Структура деления</w:t>
      </w:r>
    </w:p>
    <w:p w:rsidR="009432BA" w:rsidRDefault="009432BA">
      <w:pPr>
        <w:pStyle w:val="Mystyle"/>
      </w:pPr>
      <w:r>
        <w:t>В структуру деления входят три составные части: делимое понятие, члены деления, основание деления.</w:t>
      </w:r>
    </w:p>
    <w:p w:rsidR="009432BA" w:rsidRDefault="009432BA">
      <w:pPr>
        <w:pStyle w:val="Mystyle"/>
      </w:pPr>
      <w:r>
        <w:t>Делимым называется понятие, в объеме которого выделяются возможные виды.</w:t>
      </w:r>
    </w:p>
    <w:p w:rsidR="009432BA" w:rsidRDefault="009432BA">
      <w:pPr>
        <w:pStyle w:val="Mystyle"/>
      </w:pPr>
      <w:r>
        <w:t>Членами деления называются понятия видов, на которые делится объем делимого понятия.</w:t>
      </w:r>
    </w:p>
    <w:p w:rsidR="009432BA" w:rsidRDefault="009432BA">
      <w:pPr>
        <w:pStyle w:val="Mystyle"/>
      </w:pPr>
      <w:r>
        <w:t>Основанием деления называется признак, в соответствии с которым выделяются члены деления.</w:t>
      </w:r>
    </w:p>
    <w:p w:rsidR="009432BA" w:rsidRDefault="009432BA">
      <w:pPr>
        <w:pStyle w:val="Mystyle"/>
      </w:pPr>
      <w:r>
        <w:t>Пример. По Канту, религия в соответствии с тем, что является предшествующим, — «божественная заповедь» или «нравственный долг», делится на откровенную и естественную.</w:t>
      </w:r>
    </w:p>
    <w:p w:rsidR="009432BA" w:rsidRDefault="009432BA">
      <w:pPr>
        <w:pStyle w:val="Mystyle"/>
      </w:pPr>
      <w:r>
        <w:t xml:space="preserve">В этом примере понятие «религия» — делимое понятие, признак «предшествование заповеди или долга» — основание </w:t>
      </w:r>
      <w:bookmarkStart w:id="2" w:name="OCRUncertain352"/>
      <w:r>
        <w:t>деле</w:t>
      </w:r>
      <w:bookmarkStart w:id="3" w:name="OCRUncertain353"/>
      <w:bookmarkEnd w:id="2"/>
      <w:r>
        <w:t>ния,</w:t>
      </w:r>
      <w:bookmarkEnd w:id="3"/>
      <w:r>
        <w:t xml:space="preserve"> а понятия «естественная религия» и «откровенная религия» представляют собой члены деления.</w:t>
      </w:r>
    </w:p>
    <w:p w:rsidR="009432BA" w:rsidRDefault="009432BA">
      <w:pPr>
        <w:pStyle w:val="Mystyle"/>
        <w:rPr>
          <w:b/>
          <w:bCs/>
        </w:rPr>
      </w:pPr>
      <w:r>
        <w:rPr>
          <w:b/>
          <w:bCs/>
        </w:rPr>
        <w:t>Некоторые особенности деления</w:t>
      </w:r>
    </w:p>
    <w:p w:rsidR="009432BA" w:rsidRDefault="009432BA">
      <w:pPr>
        <w:pStyle w:val="Mystyle"/>
      </w:pPr>
      <w:r>
        <w:t xml:space="preserve">(1) Наибольшая трудность при делении — это выбор признака, по которому будет осуществляться деление. Признак должен мыслиться очень ясно для того, чтобы деление было </w:t>
      </w:r>
      <w:bookmarkStart w:id="4" w:name="OCRUncertain354"/>
      <w:r>
        <w:t>сколь-нибудь</w:t>
      </w:r>
      <w:bookmarkEnd w:id="4"/>
      <w:r>
        <w:t xml:space="preserve"> строгим.</w:t>
      </w:r>
    </w:p>
    <w:p w:rsidR="009432BA" w:rsidRDefault="009432BA">
      <w:pPr>
        <w:pStyle w:val="Mystyle"/>
      </w:pPr>
      <w:r>
        <w:t>Формально можно делить по любому признаку. Например, животных можно делить на нарисованных верблюжьей кисточкой на рисовой бумаге, и на не удостоившихся такой чести. Чисто логически возразить против такого деления нечего. Однако нас обычно не интересуют такие экстравагантные деления. Или, например, договоры можно делить на договоры между знакомыми людьми и между незнакомыми людьми. Это деление уже лучше, но, тем не менее, для юридической теории и практики дает немного.</w:t>
      </w:r>
    </w:p>
    <w:p w:rsidR="009432BA" w:rsidRDefault="009432BA">
      <w:pPr>
        <w:pStyle w:val="Mystyle"/>
      </w:pPr>
      <w:r>
        <w:t>Из этих рассуждений вытекает следующее эвристическое правило:</w:t>
      </w:r>
    </w:p>
    <w:p w:rsidR="009432BA" w:rsidRDefault="009432BA">
      <w:pPr>
        <w:pStyle w:val="Mystyle"/>
      </w:pPr>
      <w:r>
        <w:t>основание деления должно быть существенным для членов дел</w:t>
      </w:r>
      <w:bookmarkStart w:id="5" w:name="OCRUncertain355"/>
      <w:r>
        <w:t>е</w:t>
      </w:r>
      <w:bookmarkEnd w:id="5"/>
      <w:r>
        <w:t>ния признаком.</w:t>
      </w:r>
    </w:p>
    <w:p w:rsidR="009432BA" w:rsidRDefault="009432BA">
      <w:pPr>
        <w:pStyle w:val="Mystyle"/>
      </w:pPr>
      <w:r>
        <w:t>Гораздо лучше, например, делить договоры на законные и незаконные. Признак законности является существенным признаком для первого вида.</w:t>
      </w:r>
    </w:p>
    <w:p w:rsidR="009432BA" w:rsidRDefault="009432BA">
      <w:pPr>
        <w:pStyle w:val="Mystyle"/>
      </w:pPr>
      <w:r>
        <w:t>(2) Вторая проблема связана с естественной склонностью человеческого рассудка путать логическое деление с выделением в некотором целом предмете его частей. Мы уже сталкивались с этой склонностью, когда обсуждали операции обобщения и ограничения. Деление второго типа я буду называть физическим делением.</w:t>
      </w:r>
    </w:p>
    <w:p w:rsidR="009432BA" w:rsidRDefault="009432BA">
      <w:pPr>
        <w:pStyle w:val="Mystyle"/>
      </w:pPr>
      <w:r>
        <w:t>Физическое деление — это мысленное расчленение целого предмета на части.</w:t>
      </w:r>
    </w:p>
    <w:p w:rsidR="009432BA" w:rsidRDefault="009432BA">
      <w:pPr>
        <w:pStyle w:val="Mystyle"/>
      </w:pPr>
      <w:r>
        <w:t>Пример. Речь делится на вступление, главную часть и заключение.</w:t>
      </w:r>
    </w:p>
    <w:p w:rsidR="009432BA" w:rsidRDefault="009432BA">
      <w:pPr>
        <w:pStyle w:val="Mystyle"/>
      </w:pPr>
      <w:r>
        <w:t>Это деление — физическое, потому что мы не можем сказать, что, например, вступление или одна только главная часть являются речью.</w:t>
      </w:r>
    </w:p>
    <w:p w:rsidR="009432BA" w:rsidRDefault="009432BA">
      <w:pPr>
        <w:pStyle w:val="Mystyle"/>
      </w:pPr>
      <w:r>
        <w:t>Пример. Норма права состоит из гипотезы, диспозиции и санкции.</w:t>
      </w:r>
    </w:p>
    <w:p w:rsidR="009432BA" w:rsidRDefault="009432BA">
      <w:pPr>
        <w:pStyle w:val="Mystyle"/>
      </w:pPr>
      <w:r>
        <w:t>Это — также физическое деление, поскольку мы каждую отдельную норму права мысленно разделяем на три ее части. В отдельности ни гипотеза, ни диспозиция, ни санкция не являются нормами права. Если же мы разделим нормы права на предписывающие и запрещающие, то это будет логическое деление, так как предписывающая норма — это норма, и запрещающая норма — это также норма. Иначе говоря, мы все множество норм делим на два подмножества — предписывающих норм и запрещающих норм.</w:t>
      </w:r>
    </w:p>
    <w:p w:rsidR="009432BA" w:rsidRDefault="009432BA">
      <w:pPr>
        <w:pStyle w:val="Mystyle"/>
      </w:pPr>
    </w:p>
    <w:p w:rsidR="009432BA" w:rsidRDefault="009432BA">
      <w:pPr>
        <w:pStyle w:val="Mystyle"/>
      </w:pPr>
      <w:r>
        <w:t xml:space="preserve">При подготовке этой работы были использованы материалы с сайта </w:t>
      </w:r>
      <w:r w:rsidRPr="00275414">
        <w:t>http://www.studentu.ru</w:t>
      </w:r>
      <w:r>
        <w:t xml:space="preserve"> </w:t>
      </w:r>
    </w:p>
    <w:p w:rsidR="009432BA" w:rsidRDefault="009432BA">
      <w:pPr>
        <w:pStyle w:val="Mystyle"/>
      </w:pPr>
      <w:bookmarkStart w:id="6" w:name="_GoBack"/>
      <w:bookmarkEnd w:id="6"/>
    </w:p>
    <w:sectPr w:rsidR="009432BA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414"/>
    <w:rsid w:val="00001B80"/>
    <w:rsid w:val="00275414"/>
    <w:rsid w:val="0070340E"/>
    <w:rsid w:val="009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F64C69-612A-4FD5-B7AB-B9B56932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2014-01-27T08:45:00Z</dcterms:created>
  <dcterms:modified xsi:type="dcterms:W3CDTF">2014-01-27T08:45:00Z</dcterms:modified>
</cp:coreProperties>
</file>