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294" w:rsidRDefault="00802294">
      <w:pPr>
        <w:pStyle w:val="Mystyle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ОПРЕДЕЛЕНИЕ ОБЩИХ ПРИНЦИПОВ МЕСТНОГО САМОУПРАВЛЕНИЯ</w:t>
      </w:r>
    </w:p>
    <w:p w:rsidR="00802294" w:rsidRDefault="00802294">
      <w:pPr>
        <w:pStyle w:val="Mystyle"/>
      </w:pPr>
    </w:p>
    <w:p w:rsidR="00802294" w:rsidRDefault="00802294">
      <w:pPr>
        <w:pStyle w:val="Mystyle"/>
      </w:pPr>
      <w:r>
        <w:t xml:space="preserve">     В Конституции отсутствует понятие </w:t>
      </w:r>
      <w:r>
        <w:rPr>
          <w:i/>
          <w:iCs/>
        </w:rPr>
        <w:t>общих принципов организации  местного самоуправления.</w:t>
      </w:r>
      <w:r>
        <w:t xml:space="preserve">     </w:t>
      </w:r>
    </w:p>
    <w:p w:rsidR="00802294" w:rsidRDefault="00802294">
      <w:pPr>
        <w:pStyle w:val="Mystyle"/>
      </w:pPr>
      <w:r>
        <w:t xml:space="preserve">     Однако системный и взаимосвязанный анализ соответствующих конституционных положений позволяет прийти к выводу о том, что такое понятие должно охватывать, по крайней мере, две группы норм</w:t>
      </w:r>
      <w:r>
        <w:rPr>
          <w:rStyle w:val="ad"/>
        </w:rPr>
        <w:footnoteReference w:id="1"/>
      </w:r>
      <w:r>
        <w:t>.</w:t>
      </w:r>
    </w:p>
    <w:p w:rsidR="00802294" w:rsidRDefault="00802294">
      <w:pPr>
        <w:pStyle w:val="Mystyle"/>
      </w:pPr>
      <w:r>
        <w:t xml:space="preserve">     Первая из них призвана гарантировать реализацию закрепленных в Конституции основ самоуправления и соответствующих прав граждан на самоуправление: самостоятельность местного самоуправления в пределах предоставленных ему полномочий (ст.12); самостоятельное решение населением вопросов местного значения путем референдума, выборов, других форм прямого волеизъявления, через выборные органы местного самоуправления (ст.130); осуществление местного самоуправления с учетом исторических и иных местных традиций (ст. 131); запрет на ограничение прав местного самоуправления, установленных Конституцией (ст.133); осуществление республиками, краями, областями, городами федерального значения, автономной областью и автономными округами собственного правового регулирования, включая принятие законов и иных нормативных правовых актов, вне пределов ведения Российской Федерации, совместного ведения Российской Федерации и субъектов Российской Федерации (ч.4 ст.76).</w:t>
      </w:r>
    </w:p>
    <w:p w:rsidR="00802294" w:rsidRDefault="00802294">
      <w:pPr>
        <w:pStyle w:val="Mystyle"/>
      </w:pPr>
      <w:r>
        <w:t xml:space="preserve">     Вторая группа норм должна обеспечить осуществление ряда положений Конституции, составляющих основы конституционного строя Российской Федерации и гарантирующих права и свободы человека и гражданина. К ней относятся конституционные положения об обязанности государства признавать, соблюдать и защищать права и свободы человека и гражданина (ст.2); о праве народа осуществлять свою власть через органы местного самоуправления (ч.2 ст.3); о запрете кому бы то ни было присваивать власть в Российской Федерации (ч.4 ст.3); о праве граждан Российской Федерации участвовать в управлении государством как непосредственно, так и через своих представителей (ч.1 ст.32); о праве граждан Российской Федерации избирать и быть избранными в органы местного самоуправления (ч.2 ст.32).</w:t>
      </w:r>
    </w:p>
    <w:p w:rsidR="00802294" w:rsidRDefault="00802294">
      <w:pPr>
        <w:pStyle w:val="Mystyle"/>
      </w:pPr>
      <w:r>
        <w:t xml:space="preserve">     Поскольку согласно ч.4 ст.15 Конституции общепризнанные принципы и нормы международного права и международные договоры Российской Федерации являются составной частью ее правовой системы, то устанавливаемые федеральным законодательством общие принципы организации местного самоуправления должны соответствовать международно-правовым нормам по данному вопросу, являющимся обязательными для исполнения Российской Федерацией. Одна из таких норм содержится в ч.3 ст.21 Всеобщей Декларации прав человека, устанавливающей, в частности, что воля народа должна находить себе выражение в периодических выборах. Другая - в ст.25 Международного пакта о гражданских и политических правах, где указывается, что каждый гражданин должен иметь без какой бы то ни было дискриминации и без необоснованных ограничений право и возможность голосовать и быть избранным на подлинных периодических выборах, обеспечивающих свободное волеизъявление избирателей.</w:t>
      </w:r>
    </w:p>
    <w:p w:rsidR="00802294" w:rsidRDefault="00802294">
      <w:pPr>
        <w:pStyle w:val="Mystyle"/>
      </w:pPr>
      <w:r>
        <w:t xml:space="preserve">     Европейская хартия о местном самоуправлении, принятая Советом Европы (ратифицирована Федеральным законом от 11.04.98 г. № 55-ФЗ), предоставляя местным органам власти возможность самим определять свои внутренние административные структуры с тем, чтобы они отвечали местным потребностям и обеспечивали эффективное управление, также подчеркивает, что они должны делать это, "не нарушая более общих законодательных положений" (ч.1 ст.6).</w:t>
      </w:r>
    </w:p>
    <w:p w:rsidR="00802294" w:rsidRDefault="00802294">
      <w:pPr>
        <w:pStyle w:val="Mystyle"/>
      </w:pPr>
      <w:r>
        <w:t xml:space="preserve">     Обе группы конституционных и международно-правовых норм, составляющих, общие принципы организации системы органов местного самоуправления, получили в той или иной мере отражение в Законе "Об общих принципах организации местного самоуправления в РФ".</w:t>
      </w:r>
    </w:p>
    <w:p w:rsidR="00802294" w:rsidRDefault="00802294">
      <w:pPr>
        <w:pStyle w:val="Mystyle"/>
      </w:pPr>
    </w:p>
    <w:p w:rsidR="00802294" w:rsidRDefault="00802294">
      <w:pPr>
        <w:pStyle w:val="Mystyle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МОДЕЛИ МЕСТНОГО САМОУПРАВЛЕНИЯ</w:t>
      </w:r>
    </w:p>
    <w:p w:rsidR="00802294" w:rsidRDefault="00802294">
      <w:pPr>
        <w:pStyle w:val="Mystyle"/>
      </w:pPr>
    </w:p>
    <w:p w:rsidR="00802294" w:rsidRDefault="00802294">
      <w:pPr>
        <w:pStyle w:val="Mystyle"/>
      </w:pPr>
      <w:r>
        <w:t xml:space="preserve">      Совершенствуя местное самоуправление, всегда целесообразно посмотреть и на свой исторический опыт, и на практику мирового сообщества. </w:t>
      </w:r>
    </w:p>
    <w:p w:rsidR="00802294" w:rsidRDefault="00802294">
      <w:pPr>
        <w:pStyle w:val="Mystyle"/>
      </w:pPr>
      <w:r>
        <w:t xml:space="preserve">   Практика различных стран в настоящее время выработала, по крайней мере, три модели местного самоуправления, которые обеспечивают его самостоятельность, и, с другой стороны, необходимый государственный контроль</w:t>
      </w:r>
      <w:r>
        <w:rPr>
          <w:rStyle w:val="ad"/>
        </w:rPr>
        <w:footnoteReference w:id="2"/>
      </w:r>
      <w:r>
        <w:t xml:space="preserve">. </w:t>
      </w:r>
    </w:p>
    <w:p w:rsidR="00802294" w:rsidRDefault="00802294">
      <w:pPr>
        <w:pStyle w:val="Mystyle"/>
      </w:pPr>
      <w:r>
        <w:t xml:space="preserve">  </w:t>
      </w:r>
      <w:r>
        <w:rPr>
          <w:u w:val="single"/>
        </w:rPr>
        <w:t>Первая мо</w:t>
      </w:r>
      <w:r>
        <w:rPr>
          <w:u w:val="single"/>
        </w:rPr>
        <w:softHyphen/>
        <w:t>дель - англосаксонская.</w:t>
      </w:r>
      <w:r>
        <w:t xml:space="preserve"> Она предусматривает самоуправление во всех звеньях, на всех ступе</w:t>
      </w:r>
      <w:r>
        <w:softHyphen/>
        <w:t>нях административно-территориального деления. В общинах имеются только выборные органы. В мелких общинах, в которых меньше 150 чело</w:t>
      </w:r>
      <w:r>
        <w:softHyphen/>
        <w:t>век, собирается общее собрание. А во всех ос</w:t>
      </w:r>
      <w:r>
        <w:softHyphen/>
        <w:t>тальных - выборные местные органы. Никаких назначенных чиновников сверху нет, управля</w:t>
      </w:r>
      <w:r>
        <w:softHyphen/>
        <w:t>ются они советниками. Каждый член Совета отвечает за определенную отрасль. Ис</w:t>
      </w:r>
      <w:r>
        <w:softHyphen/>
        <w:t>полкома нет. Имеются отрасли: дорожное хо</w:t>
      </w:r>
      <w:r>
        <w:softHyphen/>
        <w:t>зяйство, образование, местная санитария. За каждую отрасль отвечает советник, у которого есть аппарат.</w:t>
      </w:r>
      <w:r>
        <w:rPr>
          <w:lang w:val="en-US"/>
        </w:rPr>
        <w:t xml:space="preserve"> </w:t>
      </w:r>
      <w:r>
        <w:t>Но есть и контроль. Демократии не может быть без контроля. Есть регулярные министер</w:t>
      </w:r>
      <w:r>
        <w:softHyphen/>
        <w:t>ские инспекции (особенно Министерства по охра</w:t>
      </w:r>
      <w:r>
        <w:softHyphen/>
        <w:t>не окружающей среды). Существует практика ут</w:t>
      </w:r>
      <w:r>
        <w:softHyphen/>
        <w:t>верждения министерствами чиновников, которые затем утверждаются советами. Прежде чем на</w:t>
      </w:r>
      <w:r>
        <w:softHyphen/>
        <w:t>значить чиновника по пожарной охране, по здра</w:t>
      </w:r>
      <w:r>
        <w:softHyphen/>
        <w:t>воохранению, надо согласовать с соответствую</w:t>
      </w:r>
      <w:r>
        <w:softHyphen/>
        <w:t>щим министерством. Есть целый ряд других форм государственного контроля, т.е. при любой вы</w:t>
      </w:r>
      <w:r>
        <w:softHyphen/>
        <w:t>борности местных органов государственный контроль в той или иной форме существует, даже когда нет специально назначенных от государст</w:t>
      </w:r>
      <w:r>
        <w:softHyphen/>
        <w:t>ва уполномоченных.</w:t>
      </w:r>
    </w:p>
    <w:p w:rsidR="00802294" w:rsidRDefault="00802294">
      <w:pPr>
        <w:pStyle w:val="Mystyle"/>
      </w:pPr>
      <w:r>
        <w:t xml:space="preserve">     </w:t>
      </w:r>
      <w:r>
        <w:rPr>
          <w:u w:val="single"/>
        </w:rPr>
        <w:t>Существует континентальная модель</w:t>
      </w:r>
      <w:r>
        <w:t>. Там все проще. На всех уровнях выборный Совет, но вез</w:t>
      </w:r>
      <w:r>
        <w:softHyphen/>
        <w:t>де есть и назначенные представители правитель</w:t>
      </w:r>
      <w:r>
        <w:softHyphen/>
        <w:t>ства - префекты. Это государственная власть над властью местного самоуправления. Они осуще</w:t>
      </w:r>
      <w:r>
        <w:softHyphen/>
        <w:t>ствляют контроль и раньше контролировали до</w:t>
      </w:r>
      <w:r>
        <w:softHyphen/>
        <w:t>вольно жестко. Сейчас целесообразность не про</w:t>
      </w:r>
      <w:r>
        <w:softHyphen/>
        <w:t>веряют, но законность проверяют всегда. Напри</w:t>
      </w:r>
      <w:r>
        <w:softHyphen/>
        <w:t>мер, законность расходования средств: если деньги дали на постройку моста через речку, их нельзя потратить на обустройство клуба. Пре</w:t>
      </w:r>
      <w:r>
        <w:softHyphen/>
        <w:t>фекты могут обжаловать любое решение муни</w:t>
      </w:r>
      <w:r>
        <w:softHyphen/>
        <w:t>ципального совета в административный суд. Спе</w:t>
      </w:r>
      <w:r>
        <w:softHyphen/>
        <w:t>циальные административные суды есть на всех уровнях. Что касается Правительства, то оно мо</w:t>
      </w:r>
      <w:r>
        <w:softHyphen/>
        <w:t>жет сместить чиновника, но только в том случае, если он нарушает закон или если оказывается не</w:t>
      </w:r>
      <w:r>
        <w:softHyphen/>
        <w:t xml:space="preserve">работоспособным. </w:t>
      </w:r>
    </w:p>
    <w:p w:rsidR="00802294" w:rsidRDefault="00802294">
      <w:pPr>
        <w:pStyle w:val="Mystyle"/>
      </w:pPr>
      <w:r>
        <w:t xml:space="preserve">     </w:t>
      </w:r>
      <w:r>
        <w:rPr>
          <w:u w:val="single"/>
        </w:rPr>
        <w:t>Третья модель.</w:t>
      </w:r>
      <w:r>
        <w:t xml:space="preserve"> По ней пошла Латинская Америка. Хорошо в ней то, что всех избирают. Назначенных представителей в местном само</w:t>
      </w:r>
      <w:r>
        <w:softHyphen/>
        <w:t>управлении нет. Но избранный населением пре</w:t>
      </w:r>
      <w:r>
        <w:softHyphen/>
        <w:t>фект утверждается затем парламентом как представитель государственной власти. Одновременно  он является и председателем местного совета. В общем, он концентрирует большую власть и является представителем государственной власти. Будучи избранным населением, он легитимен в глазах населения.</w:t>
      </w:r>
    </w:p>
    <w:p w:rsidR="00802294" w:rsidRDefault="00802294">
      <w:pPr>
        <w:pStyle w:val="Mystyle"/>
      </w:pPr>
      <w:r>
        <w:t xml:space="preserve">     Что касается ст. 12 Конституции, которая исключает органы местного самоуправления из системы органов государственной власти, то она, не делает органы мест</w:t>
      </w:r>
      <w:r>
        <w:softHyphen/>
        <w:t>ного самоуправления элементами государствен</w:t>
      </w:r>
      <w:r>
        <w:softHyphen/>
        <w:t>ности второго сорта и не выводит их за рамки государственности.  Это такой же по качеству элемент государственности. С точки зрения юри</w:t>
      </w:r>
      <w:r>
        <w:softHyphen/>
        <w:t>дической оценки это - органы власти, как и вся вышестоящая структура. Не надо представлять, что здесь совершенно иная природа. Это публич</w:t>
      </w:r>
      <w:r>
        <w:softHyphen/>
        <w:t>но-правовые учреждения. Кроме того, признание публично-правового характера органов местного самоуправления на</w:t>
      </w:r>
      <w:r>
        <w:softHyphen/>
        <w:t>до рассматривать с той точки зрения, что сущест</w:t>
      </w:r>
      <w:r>
        <w:softHyphen/>
        <w:t>вует тенденция к общинизации местного само</w:t>
      </w:r>
      <w:r>
        <w:softHyphen/>
        <w:t>управления. Поэтому естественно, что государство опре</w:t>
      </w:r>
      <w:r>
        <w:softHyphen/>
        <w:t>деляет и территории местного самоуправления, и объем полномочий местного самоуправления, ис</w:t>
      </w:r>
      <w:r>
        <w:softHyphen/>
        <w:t>ходя из реальных управленческих возможностей данных структур, определяемых размерами тер</w:t>
      </w:r>
      <w:r>
        <w:softHyphen/>
        <w:t>ритории, социальной, производственной инфра</w:t>
      </w:r>
      <w:r>
        <w:softHyphen/>
        <w:t>структурой и т.д.</w:t>
      </w:r>
    </w:p>
    <w:p w:rsidR="00802294" w:rsidRDefault="00802294">
      <w:pPr>
        <w:pStyle w:val="Mystyle"/>
        <w:rPr>
          <w:lang w:val="en-US"/>
        </w:rPr>
      </w:pPr>
      <w:bookmarkStart w:id="0" w:name="_GoBack"/>
      <w:bookmarkEnd w:id="0"/>
    </w:p>
    <w:sectPr w:rsidR="00802294">
      <w:pgSz w:w="11906" w:h="16838" w:code="9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294" w:rsidRDefault="00802294">
      <w:r>
        <w:separator/>
      </w:r>
    </w:p>
  </w:endnote>
  <w:endnote w:type="continuationSeparator" w:id="0">
    <w:p w:rsidR="00802294" w:rsidRDefault="0080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294" w:rsidRDefault="00802294">
      <w:r>
        <w:separator/>
      </w:r>
    </w:p>
  </w:footnote>
  <w:footnote w:type="continuationSeparator" w:id="0">
    <w:p w:rsidR="00802294" w:rsidRDefault="00802294">
      <w:r>
        <w:continuationSeparator/>
      </w:r>
    </w:p>
  </w:footnote>
  <w:footnote w:id="1">
    <w:p w:rsidR="00802294" w:rsidRDefault="00802294">
      <w:pPr>
        <w:pStyle w:val="ac"/>
        <w:jc w:val="both"/>
      </w:pPr>
      <w:r>
        <w:rPr>
          <w:rStyle w:val="ad"/>
        </w:rPr>
        <w:footnoteRef/>
      </w:r>
      <w:r>
        <w:t xml:space="preserve"> См.: Особое мнение судьи Конституционного суда РФ Аметистова по делу о проверке конституционности п.1 ст.58 и п.2 ст.59 ФЗ </w:t>
      </w:r>
      <w:r>
        <w:rPr>
          <w:lang w:val="en-US"/>
        </w:rPr>
        <w:t>“Об общих принципах организации местного самоуправления в РФ” от 28.08.95 г. (с изм. от 22.04.96 г.) // Постановление Конституционного суда РФ от 30.05.96 г. № 13-П.</w:t>
      </w:r>
    </w:p>
  </w:footnote>
  <w:footnote w:id="2">
    <w:p w:rsidR="00802294" w:rsidRDefault="00802294">
      <w:pPr>
        <w:pStyle w:val="ac"/>
        <w:jc w:val="both"/>
      </w:pPr>
      <w:r>
        <w:rPr>
          <w:rStyle w:val="ad"/>
        </w:rPr>
        <w:footnoteRef/>
      </w:r>
      <w:r>
        <w:t xml:space="preserve"> Актуальные проблемы формирования местного самоуправления (</w:t>
      </w:r>
      <w:r>
        <w:rPr>
          <w:lang w:val="en-US"/>
        </w:rPr>
        <w:t>“</w:t>
      </w:r>
      <w:r>
        <w:t>Круглый стол</w:t>
      </w:r>
      <w:r>
        <w:rPr>
          <w:lang w:val="en-US"/>
        </w:rPr>
        <w:t>”</w:t>
      </w:r>
      <w:r>
        <w:t xml:space="preserve"> в Институте государства и права РАН) //</w:t>
      </w:r>
      <w:r>
        <w:rPr>
          <w:lang w:val="en-US"/>
        </w:rPr>
        <w:t xml:space="preserve"> </w:t>
      </w:r>
      <w:r>
        <w:t>Государство и право № 5, 1997</w:t>
      </w:r>
      <w:r>
        <w:rPr>
          <w:lang w:val="en-US"/>
        </w:rPr>
        <w:t xml:space="preserve"> c.33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989"/>
    <w:rsid w:val="006C6238"/>
    <w:rsid w:val="00802294"/>
    <w:rsid w:val="0099030A"/>
    <w:rsid w:val="00E1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774825-8DD6-4B98-8410-B49D4425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ac">
    <w:name w:val="текст сноски"/>
    <w:basedOn w:val="a"/>
    <w:uiPriority w:val="99"/>
    <w:pPr>
      <w:widowControl/>
    </w:pPr>
    <w:rPr>
      <w:sz w:val="20"/>
      <w:szCs w:val="20"/>
      <w:lang w:val="ru-RU"/>
    </w:rPr>
  </w:style>
  <w:style w:type="character" w:customStyle="1" w:styleId="ad">
    <w:name w:val="знак сноски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4792</Words>
  <Characters>2732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2014-01-27T09:04:00Z</dcterms:created>
  <dcterms:modified xsi:type="dcterms:W3CDTF">2014-01-27T09:04:00Z</dcterms:modified>
</cp:coreProperties>
</file>