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15" w:rsidRPr="00BA4C52" w:rsidRDefault="00413815" w:rsidP="00413815">
      <w:pPr>
        <w:spacing w:before="120"/>
        <w:jc w:val="center"/>
        <w:rPr>
          <w:b/>
          <w:bCs/>
          <w:sz w:val="32"/>
          <w:szCs w:val="32"/>
        </w:rPr>
      </w:pPr>
      <w:r w:rsidRPr="00BA4C52">
        <w:rPr>
          <w:b/>
          <w:bCs/>
          <w:sz w:val="32"/>
          <w:szCs w:val="32"/>
        </w:rPr>
        <w:t xml:space="preserve">Оскар Вальцель </w:t>
      </w:r>
    </w:p>
    <w:p w:rsidR="00413815" w:rsidRPr="00413815" w:rsidRDefault="00413815" w:rsidP="00413815">
      <w:pPr>
        <w:spacing w:before="120"/>
        <w:ind w:firstLine="567"/>
        <w:jc w:val="both"/>
        <w:rPr>
          <w:sz w:val="28"/>
          <w:szCs w:val="28"/>
        </w:rPr>
      </w:pPr>
      <w:r w:rsidRPr="00413815">
        <w:rPr>
          <w:sz w:val="28"/>
          <w:szCs w:val="28"/>
        </w:rPr>
        <w:t xml:space="preserve">А. Запровская </w:t>
      </w:r>
    </w:p>
    <w:p w:rsidR="00413815" w:rsidRPr="000C55F5" w:rsidRDefault="00413815" w:rsidP="00413815">
      <w:pPr>
        <w:spacing w:before="120"/>
        <w:ind w:firstLine="567"/>
        <w:jc w:val="both"/>
      </w:pPr>
      <w:r w:rsidRPr="000C55F5">
        <w:t xml:space="preserve">Вальцель Оскар </w:t>
      </w:r>
      <w:r>
        <w:t>(</w:t>
      </w:r>
      <w:r w:rsidRPr="000C55F5">
        <w:t>Oscar Walzel, 1869—</w:t>
      </w:r>
      <w:r>
        <w:t>)</w:t>
      </w:r>
      <w:r w:rsidRPr="000C55F5">
        <w:t xml:space="preserve"> — историк и теоретик немецкой литературы, представитель философско-формалистического метода в германском литературоведении. С самого начала своей научной деятельности он выступает против филологического, исторического и психологического методов. Под влиянием Дильтея , который устанавливает определенные типы отношений людей к жизни и на основании этого делит явления художественной литературы, В. в своих работах связывает явления художественной </w:t>
      </w:r>
      <w:r>
        <w:t>литератур</w:t>
      </w:r>
      <w:r w:rsidRPr="000C55F5">
        <w:t xml:space="preserve">ы с развитием философской мысли данного периода. Под таким синтетически-философским углом зрения даны работы В. о немецком романтизме, Шиллере, Гёте, Лессинге, Шлегеле, Рикарде Гух и др., а также рассматриваются отдельные </w:t>
      </w:r>
      <w:r>
        <w:t>литературны</w:t>
      </w:r>
      <w:r w:rsidRPr="000C55F5">
        <w:t xml:space="preserve">е жанры, ставятся вопросы теории новеллы, драмы и лирики. Характерной в этом плане книгой является «Vom Geistesleben des XVIII und XIX Jahrhunderts». </w:t>
      </w:r>
    </w:p>
    <w:p w:rsidR="00413815" w:rsidRPr="000C55F5" w:rsidRDefault="00413815" w:rsidP="00413815">
      <w:pPr>
        <w:spacing w:before="120"/>
        <w:ind w:firstLine="567"/>
        <w:jc w:val="both"/>
      </w:pPr>
      <w:r w:rsidRPr="000C55F5">
        <w:t xml:space="preserve">С 1916—1917 В. уделяет свое внимание преимущественно методологическим проблемам литературоведения и, отходя все больше от принципов Дильтея, приближается к формализму Вёльфлина. Его принцип классификации произведений искусства, по их стилевым признакам на ренессанс  или барокко  и принцип взаимодействия искусств сказались уже в докладе В., изданном в 1917, — «Wechselseitige Erhellung der Künste». Свои методологические основы В. детально изложил в издаваемой им истории всемирной </w:t>
      </w:r>
      <w:r>
        <w:t>литератур</w:t>
      </w:r>
      <w:r w:rsidRPr="000C55F5">
        <w:t xml:space="preserve">ы — «Handbuch der Literaturwissenschaft»: «Gehalt und Gestalt im Kunstwerk des Dichters». Изучение </w:t>
      </w:r>
      <w:r>
        <w:t>литературны</w:t>
      </w:r>
      <w:r w:rsidRPr="000C55F5">
        <w:t xml:space="preserve">х явлений преимущественно с формальной стороны и деление </w:t>
      </w:r>
      <w:r>
        <w:t>литератур</w:t>
      </w:r>
      <w:r w:rsidRPr="000C55F5">
        <w:t xml:space="preserve">ы на основании только ее формальных признаков позволяют рассматривать В. как представителя немецкой формалистической школы в литературоведении. Но формализм В. отличен, напр., от формализма Шпицера и Шперберга, трактующих форму как чисто технический момент в </w:t>
      </w:r>
      <w:r>
        <w:t>литературно</w:t>
      </w:r>
      <w:r w:rsidRPr="000C55F5">
        <w:t xml:space="preserve">м произведении. Вальцель обосновывает свой формализм сложной философией имманентности и трансцендентальности художественного </w:t>
      </w:r>
      <w:r>
        <w:t xml:space="preserve"> </w:t>
      </w:r>
      <w:r w:rsidRPr="000C55F5">
        <w:t xml:space="preserve">творчества. В. ссылается на Зиммеля, для которого жизнь — только случайной формы отрезок метафизической абсолютности. Такими же случайными фрагментами являются, наряду с эмпирической жизнью, религия, наука и искусство. Все эти «миры» берут содержание из родной абсолютной жизни, оно принципиально одинаково, но разные основные мотивы придают им отличные формы. Через форму художественного произведения, по В., выражена метафизическая абсолютность, и поэтому, согласно его теории, художественное произведение надлежит изучать с формальной стороны. Форма выявляет единство произведения. Формализм В. провозглашает искусство самостоятельным выражением непознаваемой сущности жизни. </w:t>
      </w:r>
    </w:p>
    <w:p w:rsidR="00413815" w:rsidRPr="000C55F5" w:rsidRDefault="00413815" w:rsidP="00413815">
      <w:pPr>
        <w:spacing w:before="120"/>
        <w:ind w:firstLine="567"/>
        <w:jc w:val="both"/>
      </w:pPr>
      <w:r w:rsidRPr="000C55F5">
        <w:t xml:space="preserve">Исходя из предпосылки, что лит-pa образует параллельную философии отрасль человеческого познания, В. рассматривает ее как самостоятельную область. Произведения литературы должны исследоваться со стороны своего художественного образа, который является воплощением формы и содержания. Для изучения художественного творчества ни художник, ни окружающее не имеют значения, а лишь выраженная в образе имманентная сущность произведения. Здесь В. приближается к так называемой эйдологической школе в немецком литературоведении. </w:t>
      </w:r>
    </w:p>
    <w:p w:rsidR="00413815" w:rsidRPr="000C55F5" w:rsidRDefault="00413815" w:rsidP="00413815">
      <w:pPr>
        <w:spacing w:before="120"/>
        <w:ind w:firstLine="567"/>
        <w:jc w:val="both"/>
      </w:pPr>
      <w:r w:rsidRPr="000C55F5">
        <w:t xml:space="preserve">Устанавливая родство разных видов искусства, В. требует применения одного метода и одинаковых принципов типизации в исследовании всех видов искусства. Поэтому, исходя из принципов формального деления изобразительного искусства у Вёльфлина на искусство ренессанса и барокко, В. переносит их на литературу, причем второй тип искусства, барокко, В. делит на две группы и таким образом устанавливает три деления в развитии </w:t>
      </w:r>
      <w:r>
        <w:t>литератур</w:t>
      </w:r>
      <w:r w:rsidRPr="000C55F5">
        <w:t xml:space="preserve">ы: 1. классическая </w:t>
      </w:r>
      <w:r>
        <w:t>литератур</w:t>
      </w:r>
      <w:r w:rsidRPr="000C55F5">
        <w:t xml:space="preserve">а, которая формируется из явлений, сделавшихся постоянными и неподвижными, абстрактными и ограниченными, и пользуется твердым, оформившимся яз.; 2. стиль, который можно назвать импрессионистическим (см. «Импрессионизм»), — жизнь схватывается в тот момент, когда она вступает на поверхность эмпирического существования; этот стиль выражает чувственный мир и пользуется яз. спокойного движения; 3. стиль, к которому стремится современность: он улавливает жизнь в движении, когда она, уже выявив свою сущность, достигает большей длительности и становления; он дает смутное ощущение чувственного мира, отличается неясностью и возвышенностью, пользуется сложным яз., выкриками, длинными периодами. Этот стиль соответствует идеальным устремлениям экспрессионизма (см. «Экспрессионизм»). Исходя из идеалистически-метафизических предпосылок философии, признавая, что стремления экспрессионизма — лучшее выражение метафизической сущности жизни, и рассматривая </w:t>
      </w:r>
      <w:r>
        <w:t xml:space="preserve"> литературны</w:t>
      </w:r>
      <w:r w:rsidRPr="000C55F5">
        <w:t xml:space="preserve">е явления по их выразительности, теория В. сама представляет своего рода экспрессионистическое литературоведение. </w:t>
      </w:r>
    </w:p>
    <w:p w:rsidR="00413815" w:rsidRPr="000C55F5" w:rsidRDefault="00413815" w:rsidP="00413815">
      <w:pPr>
        <w:spacing w:before="120"/>
        <w:ind w:firstLine="567"/>
        <w:jc w:val="both"/>
      </w:pPr>
      <w:r w:rsidRPr="000C55F5">
        <w:t xml:space="preserve">Несмотря на некоторую философскую обоснованность своих положений, В. не может разрешить целого ряда проблем даже в границах своего метода. Так вопрос о взаимоотношении формы и содержания остается у него нерешенным. Провозглашая единство формы и содержания, он все же выдвигает форму как определяющий произведение момент; бессилен он также обосновать установленные им типы художественно-литературного творчества. </w:t>
      </w:r>
    </w:p>
    <w:p w:rsidR="00413815" w:rsidRPr="000C55F5" w:rsidRDefault="00413815" w:rsidP="00413815">
      <w:pPr>
        <w:spacing w:before="120"/>
        <w:ind w:firstLine="567"/>
        <w:jc w:val="both"/>
      </w:pPr>
      <w:r w:rsidRPr="000C55F5">
        <w:t xml:space="preserve">В. оказал некоторое влияние на формалистическую школу литературоведения в Советской России. </w:t>
      </w:r>
    </w:p>
    <w:p w:rsidR="00413815" w:rsidRPr="00BA4C52" w:rsidRDefault="00413815" w:rsidP="00413815">
      <w:pPr>
        <w:spacing w:before="120"/>
        <w:jc w:val="center"/>
        <w:rPr>
          <w:b/>
          <w:bCs/>
          <w:sz w:val="28"/>
          <w:szCs w:val="28"/>
        </w:rPr>
      </w:pPr>
      <w:r w:rsidRPr="00BA4C52">
        <w:rPr>
          <w:b/>
          <w:bCs/>
          <w:sz w:val="28"/>
          <w:szCs w:val="28"/>
        </w:rPr>
        <w:t>Список литературы</w:t>
      </w:r>
    </w:p>
    <w:p w:rsidR="00413815" w:rsidRDefault="00413815" w:rsidP="00413815">
      <w:pPr>
        <w:spacing w:before="120"/>
        <w:ind w:firstLine="567"/>
        <w:jc w:val="both"/>
      </w:pPr>
      <w:r w:rsidRPr="000C55F5">
        <w:t>Из работ В. перев. на русск. яз.: Экспрессионизм и импрессионизм, Л., 1927</w:t>
      </w:r>
      <w:r>
        <w:t xml:space="preserve"> </w:t>
      </w:r>
    </w:p>
    <w:p w:rsidR="00413815" w:rsidRDefault="00413815" w:rsidP="00413815">
      <w:pPr>
        <w:spacing w:before="120"/>
        <w:ind w:firstLine="567"/>
        <w:jc w:val="both"/>
      </w:pPr>
      <w:r w:rsidRPr="000C55F5">
        <w:t>Проблема формы в поэзии, П., 1923</w:t>
      </w:r>
      <w:r>
        <w:t xml:space="preserve"> </w:t>
      </w:r>
    </w:p>
    <w:p w:rsidR="00413815" w:rsidRDefault="00413815" w:rsidP="00413815">
      <w:pPr>
        <w:spacing w:before="120"/>
        <w:ind w:firstLine="567"/>
        <w:jc w:val="both"/>
      </w:pPr>
      <w:r w:rsidRPr="000C55F5">
        <w:t xml:space="preserve">Ст. в сб. «Проблемы </w:t>
      </w:r>
      <w:r>
        <w:t>литературно</w:t>
      </w:r>
      <w:r w:rsidRPr="000C55F5">
        <w:t>й формы», Л., 1928. На немецком яз.: книги: Deutsche Romantik, Eine Skizze, Lpz., 1908</w:t>
      </w:r>
      <w:r>
        <w:t xml:space="preserve"> </w:t>
      </w:r>
    </w:p>
    <w:p w:rsidR="00413815" w:rsidRDefault="00413815" w:rsidP="00413815">
      <w:pPr>
        <w:spacing w:before="120"/>
        <w:ind w:firstLine="567"/>
        <w:jc w:val="both"/>
        <w:rPr>
          <w:lang w:val="en-US"/>
        </w:rPr>
      </w:pPr>
      <w:r w:rsidRPr="00BA4C52">
        <w:rPr>
          <w:lang w:val="en-US"/>
        </w:rPr>
        <w:t>Hebbel-Probleme, Lpz., 1909</w:t>
      </w:r>
      <w:r>
        <w:rPr>
          <w:lang w:val="en-US"/>
        </w:rPr>
        <w:t xml:space="preserve"> </w:t>
      </w:r>
    </w:p>
    <w:p w:rsidR="00413815" w:rsidRDefault="00413815" w:rsidP="00413815">
      <w:pPr>
        <w:spacing w:before="120"/>
        <w:ind w:firstLine="567"/>
        <w:jc w:val="both"/>
        <w:rPr>
          <w:lang w:val="en-US"/>
        </w:rPr>
      </w:pPr>
      <w:r w:rsidRPr="00BA4C52">
        <w:rPr>
          <w:lang w:val="en-US"/>
        </w:rPr>
        <w:t>Vom Geistesleben des XVIII und XIX Jahrhunderts, Aufsätze, Lpz., 1911</w:t>
      </w:r>
      <w:r>
        <w:rPr>
          <w:lang w:val="en-US"/>
        </w:rPr>
        <w:t xml:space="preserve"> </w:t>
      </w:r>
    </w:p>
    <w:p w:rsidR="00413815" w:rsidRDefault="00413815" w:rsidP="00413815">
      <w:pPr>
        <w:spacing w:before="120"/>
        <w:ind w:firstLine="567"/>
        <w:jc w:val="both"/>
        <w:rPr>
          <w:lang w:val="en-US"/>
        </w:rPr>
      </w:pPr>
      <w:r w:rsidRPr="00BA4C52">
        <w:rPr>
          <w:lang w:val="en-US"/>
        </w:rPr>
        <w:t>Leben, Erleben und Dichtung, Lpz., 1912</w:t>
      </w:r>
      <w:r>
        <w:rPr>
          <w:lang w:val="en-US"/>
        </w:rPr>
        <w:t xml:space="preserve"> </w:t>
      </w:r>
    </w:p>
    <w:p w:rsidR="00413815" w:rsidRDefault="00413815" w:rsidP="00413815">
      <w:pPr>
        <w:spacing w:before="120"/>
        <w:ind w:firstLine="567"/>
        <w:jc w:val="both"/>
        <w:rPr>
          <w:lang w:val="en-US"/>
        </w:rPr>
      </w:pPr>
      <w:r w:rsidRPr="00BA4C52">
        <w:rPr>
          <w:lang w:val="en-US"/>
        </w:rPr>
        <w:t>Zukunftsaufgaben deutscher Kultur, Konstanz, 1916</w:t>
      </w:r>
      <w:r>
        <w:rPr>
          <w:lang w:val="en-US"/>
        </w:rPr>
        <w:t xml:space="preserve"> </w:t>
      </w:r>
    </w:p>
    <w:p w:rsidR="00413815" w:rsidRDefault="00413815" w:rsidP="00413815">
      <w:pPr>
        <w:spacing w:before="120"/>
        <w:ind w:firstLine="567"/>
        <w:jc w:val="both"/>
        <w:rPr>
          <w:lang w:val="en-US"/>
        </w:rPr>
      </w:pPr>
      <w:r w:rsidRPr="00BA4C52">
        <w:rPr>
          <w:lang w:val="en-US"/>
        </w:rPr>
        <w:t>Die künstlerische Form des Dichtwerks, Berlin, 1916</w:t>
      </w:r>
      <w:r>
        <w:rPr>
          <w:lang w:val="en-US"/>
        </w:rPr>
        <w:t xml:space="preserve"> </w:t>
      </w:r>
    </w:p>
    <w:p w:rsidR="00413815" w:rsidRDefault="00413815" w:rsidP="00413815">
      <w:pPr>
        <w:spacing w:before="120"/>
        <w:ind w:firstLine="567"/>
        <w:jc w:val="both"/>
        <w:rPr>
          <w:lang w:val="en-US"/>
        </w:rPr>
      </w:pPr>
      <w:r w:rsidRPr="00BA4C52">
        <w:rPr>
          <w:lang w:val="en-US"/>
        </w:rPr>
        <w:t>Wechselseitige Erhellung der Künste, Berlin, 1917</w:t>
      </w:r>
      <w:r>
        <w:rPr>
          <w:lang w:val="en-US"/>
        </w:rPr>
        <w:t xml:space="preserve"> </w:t>
      </w:r>
    </w:p>
    <w:p w:rsidR="00413815" w:rsidRDefault="00413815" w:rsidP="00413815">
      <w:pPr>
        <w:spacing w:before="120"/>
        <w:ind w:firstLine="567"/>
        <w:jc w:val="both"/>
        <w:rPr>
          <w:lang w:val="en-US"/>
        </w:rPr>
      </w:pPr>
      <w:r w:rsidRPr="00BA4C52">
        <w:rPr>
          <w:lang w:val="en-US"/>
        </w:rPr>
        <w:t>Die deutsche Dichtung seit Goethes Tod, Berlin, 1919, 2 Aufl., 1920</w:t>
      </w:r>
      <w:r>
        <w:rPr>
          <w:lang w:val="en-US"/>
        </w:rPr>
        <w:t xml:space="preserve"> </w:t>
      </w:r>
    </w:p>
    <w:p w:rsidR="00413815" w:rsidRDefault="00413815" w:rsidP="00413815">
      <w:pPr>
        <w:spacing w:before="120"/>
        <w:ind w:firstLine="567"/>
        <w:jc w:val="both"/>
        <w:rPr>
          <w:lang w:val="en-US"/>
        </w:rPr>
      </w:pPr>
      <w:r w:rsidRPr="00BA4C52">
        <w:rPr>
          <w:lang w:val="en-US"/>
        </w:rPr>
        <w:t>Vom Geistesleben alter und neuer Zeit, Lpz., 1922, enthält: Ricarda Huchs Romantik (1900, 1905), Goethes Wahlverwandschaften im Rahmen ihrer Zeit (1906), Henrik Ibsen (1910), Die Sprache der Kunst (1914), Das bürgerliche Drama (1914), Lessings Begriff des Tragischen (1918), Die künstlerische Form des jungen Goethe und der deutschen Romantik (1918), Tragik nach Schopenhauer und von heute (1920), Zwei Möglichkeiten deutscher Form (1921)</w:t>
      </w:r>
      <w:r>
        <w:rPr>
          <w:lang w:val="en-US"/>
        </w:rPr>
        <w:t xml:space="preserve"> </w:t>
      </w:r>
    </w:p>
    <w:p w:rsidR="00413815" w:rsidRDefault="00413815" w:rsidP="00413815">
      <w:pPr>
        <w:spacing w:before="120"/>
        <w:ind w:firstLine="567"/>
        <w:jc w:val="both"/>
      </w:pPr>
      <w:r w:rsidRPr="00BA4C52">
        <w:rPr>
          <w:lang w:val="en-US"/>
        </w:rPr>
        <w:t xml:space="preserve">Gehalt und Gestalt im Kunstwerk des Dichters, Potsdam, 1923. </w:t>
      </w:r>
      <w:r w:rsidRPr="000C55F5">
        <w:t>Статьи в журналах: Analytische und Synthetische Literaturforschung, «Germ.-Rom. Monatsschr.», 2, 1910</w:t>
      </w:r>
      <w:r>
        <w:t xml:space="preserve"> </w:t>
      </w:r>
    </w:p>
    <w:p w:rsidR="00413815" w:rsidRDefault="00413815" w:rsidP="00413815">
      <w:pPr>
        <w:spacing w:before="120"/>
        <w:ind w:firstLine="567"/>
        <w:jc w:val="both"/>
      </w:pPr>
      <w:r w:rsidRPr="000C55F5">
        <w:t>Dichtung und Weltanschauung, «Die Alpen», Bern, 6, Heft 4, 1911</w:t>
      </w:r>
      <w:r>
        <w:t xml:space="preserve"> </w:t>
      </w:r>
    </w:p>
    <w:p w:rsidR="00413815" w:rsidRDefault="00413815" w:rsidP="00413815">
      <w:pPr>
        <w:spacing w:before="120"/>
        <w:ind w:firstLine="567"/>
        <w:jc w:val="both"/>
      </w:pPr>
      <w:r w:rsidRPr="000C55F5">
        <w:t>Kunst der Prosa, «Zeitschr. für den Deutschen Unterricht», 28, Heft 112, 1914</w:t>
      </w:r>
      <w:r>
        <w:t xml:space="preserve"> </w:t>
      </w:r>
    </w:p>
    <w:p w:rsidR="00413815" w:rsidRDefault="00413815" w:rsidP="00413815">
      <w:pPr>
        <w:spacing w:before="120"/>
        <w:ind w:firstLine="567"/>
        <w:jc w:val="both"/>
      </w:pPr>
      <w:r w:rsidRPr="000C55F5">
        <w:t>Formeigenheiten des Romans, «Intern. Monatsschr.», 8, 1914</w:t>
      </w:r>
      <w:r>
        <w:t xml:space="preserve"> </w:t>
      </w:r>
    </w:p>
    <w:p w:rsidR="00413815" w:rsidRDefault="00413815" w:rsidP="00413815">
      <w:pPr>
        <w:spacing w:before="120"/>
        <w:ind w:firstLine="567"/>
        <w:jc w:val="both"/>
      </w:pPr>
      <w:r w:rsidRPr="000C55F5">
        <w:t>Formen des Tragischen, «Intern. Monatschr.», 8,1914</w:t>
      </w:r>
      <w:r>
        <w:t xml:space="preserve"> </w:t>
      </w:r>
    </w:p>
    <w:p w:rsidR="00413815" w:rsidRDefault="00413815" w:rsidP="00413815">
      <w:pPr>
        <w:spacing w:before="120"/>
        <w:ind w:firstLine="567"/>
        <w:jc w:val="both"/>
      </w:pPr>
      <w:r w:rsidRPr="000C55F5">
        <w:t>Roman und Epos, «Literarisches Echo», 17, Heft 10/II, 1915</w:t>
      </w:r>
      <w:r>
        <w:t xml:space="preserve"> </w:t>
      </w:r>
    </w:p>
    <w:p w:rsidR="00413815" w:rsidRDefault="00413815" w:rsidP="00413815">
      <w:pPr>
        <w:spacing w:before="120"/>
        <w:ind w:firstLine="567"/>
        <w:jc w:val="both"/>
      </w:pPr>
      <w:r w:rsidRPr="000C55F5">
        <w:t>Die Kunstform der Novelle, «Ztschr. für den deutschen Unterricht», 29, Heft 3, 1915</w:t>
      </w:r>
      <w:r>
        <w:t xml:space="preserve"> </w:t>
      </w:r>
    </w:p>
    <w:p w:rsidR="00413815" w:rsidRDefault="00413815" w:rsidP="00413815">
      <w:pPr>
        <w:spacing w:before="120"/>
        <w:ind w:firstLine="567"/>
        <w:jc w:val="both"/>
      </w:pPr>
      <w:r w:rsidRPr="000C55F5">
        <w:t>Objektive Erzählung, «Germ.-Rom. Monatsschr.», 7, 1915—1920</w:t>
      </w:r>
      <w:r>
        <w:t xml:space="preserve"> </w:t>
      </w:r>
    </w:p>
    <w:p w:rsidR="00413815" w:rsidRPr="00BA4C52" w:rsidRDefault="00413815" w:rsidP="00413815">
      <w:pPr>
        <w:spacing w:before="120"/>
        <w:ind w:firstLine="567"/>
        <w:jc w:val="both"/>
        <w:rPr>
          <w:lang w:val="en-US"/>
        </w:rPr>
      </w:pPr>
      <w:r w:rsidRPr="00BA4C52">
        <w:rPr>
          <w:lang w:val="en-US"/>
        </w:rPr>
        <w:t xml:space="preserve">Leitmotive in Dichtungen, «Zeitschr. für Bücherfreunde», 8, 1917 </w:t>
      </w:r>
    </w:p>
    <w:p w:rsidR="00413815" w:rsidRPr="00BA4C52" w:rsidRDefault="00413815" w:rsidP="00413815">
      <w:pPr>
        <w:spacing w:before="120"/>
        <w:ind w:firstLine="567"/>
        <w:jc w:val="both"/>
        <w:rPr>
          <w:lang w:val="en-US"/>
        </w:rPr>
      </w:pPr>
      <w:r w:rsidRPr="00BA4C52">
        <w:rPr>
          <w:lang w:val="en-US"/>
        </w:rPr>
        <w:t xml:space="preserve">Wölfflins kunstgeschichtliche Grundbegriffe, «Intern. Monatsschr.», 11, 1917 </w:t>
      </w:r>
    </w:p>
    <w:p w:rsidR="00413815" w:rsidRPr="00BA4C52" w:rsidRDefault="00413815" w:rsidP="00413815">
      <w:pPr>
        <w:spacing w:before="120"/>
        <w:ind w:firstLine="567"/>
        <w:jc w:val="both"/>
        <w:rPr>
          <w:lang w:val="en-US"/>
        </w:rPr>
      </w:pPr>
      <w:r w:rsidRPr="00BA4C52">
        <w:rPr>
          <w:lang w:val="en-US"/>
        </w:rPr>
        <w:t xml:space="preserve">Zeitform im lyrischen Gedicht, «Kunde und Forschungen», Lpz., 1921 </w:t>
      </w:r>
    </w:p>
    <w:p w:rsidR="00413815" w:rsidRPr="00BA4C52" w:rsidRDefault="00413815" w:rsidP="00413815">
      <w:pPr>
        <w:spacing w:before="120"/>
        <w:ind w:firstLine="567"/>
        <w:jc w:val="both"/>
        <w:rPr>
          <w:lang w:val="en-US"/>
        </w:rPr>
      </w:pPr>
      <w:r w:rsidRPr="00BA4C52">
        <w:rPr>
          <w:lang w:val="en-US"/>
        </w:rPr>
        <w:t xml:space="preserve">Wege der Wortkunst, «Idealistische Neuphilologie», Heidelberg, 1922 </w:t>
      </w:r>
    </w:p>
    <w:p w:rsidR="00413815" w:rsidRPr="00413815" w:rsidRDefault="00413815" w:rsidP="00413815">
      <w:pPr>
        <w:spacing w:before="120"/>
        <w:ind w:firstLine="567"/>
        <w:jc w:val="both"/>
        <w:rPr>
          <w:lang w:val="en-US"/>
        </w:rPr>
      </w:pPr>
      <w:r w:rsidRPr="00413815">
        <w:rPr>
          <w:lang w:val="en-US"/>
        </w:rPr>
        <w:t xml:space="preserve">Von «erlebter» Rede, Zeitschrift für Bücherfreunde», 16, Heft 3, 1924 </w:t>
      </w:r>
    </w:p>
    <w:p w:rsidR="00413815" w:rsidRPr="00413815" w:rsidRDefault="00413815" w:rsidP="00413815">
      <w:pPr>
        <w:spacing w:before="120"/>
        <w:ind w:firstLine="567"/>
        <w:jc w:val="both"/>
        <w:rPr>
          <w:lang w:val="en-US"/>
        </w:rPr>
      </w:pPr>
      <w:r w:rsidRPr="00413815">
        <w:rPr>
          <w:lang w:val="en-US"/>
        </w:rPr>
        <w:t xml:space="preserve">Die Zukunft der deutschen Literatur, «Westermanns Monatshefte», 122, 1, Heft 727, 1916 </w:t>
      </w:r>
    </w:p>
    <w:p w:rsidR="00413815" w:rsidRPr="00413815" w:rsidRDefault="00413815" w:rsidP="00413815">
      <w:pPr>
        <w:spacing w:before="120"/>
        <w:ind w:firstLine="567"/>
        <w:jc w:val="both"/>
        <w:rPr>
          <w:lang w:val="en-US"/>
        </w:rPr>
      </w:pPr>
      <w:r w:rsidRPr="00413815">
        <w:rPr>
          <w:lang w:val="en-US"/>
        </w:rPr>
        <w:t xml:space="preserve">Goethe und die Kunst der Gegenwart, «Jahrbuch d. Goethe Gesellsch.», 4, 1917 </w:t>
      </w:r>
    </w:p>
    <w:p w:rsidR="00413815" w:rsidRDefault="00413815" w:rsidP="00413815">
      <w:pPr>
        <w:spacing w:before="120"/>
        <w:ind w:firstLine="567"/>
        <w:jc w:val="both"/>
      </w:pPr>
      <w:r w:rsidRPr="000C55F5">
        <w:t>Expressionistisches Drama, «Intern. Monatsschr.», 13, 1919</w:t>
      </w:r>
      <w:r>
        <w:t xml:space="preserve"> </w:t>
      </w:r>
    </w:p>
    <w:p w:rsidR="00413815" w:rsidRDefault="00413815" w:rsidP="00413815">
      <w:pPr>
        <w:spacing w:before="120"/>
        <w:ind w:firstLine="567"/>
        <w:jc w:val="both"/>
      </w:pPr>
      <w:r w:rsidRPr="000C55F5">
        <w:t>Eindruckskunst und Ausdruckskunst in der Dichtung, Lpz., 1919</w:t>
      </w:r>
      <w:r>
        <w:t xml:space="preserve"> </w:t>
      </w:r>
    </w:p>
    <w:p w:rsidR="00413815" w:rsidRDefault="00413815" w:rsidP="00413815">
      <w:pPr>
        <w:spacing w:before="120"/>
        <w:ind w:firstLine="567"/>
        <w:jc w:val="both"/>
      </w:pPr>
      <w:r w:rsidRPr="000C55F5">
        <w:t>Fritz v. Unruh, «Germ.-Rom. Monatsschr.», 9, Heft 7/8, und Heft 9/10, 1921</w:t>
      </w:r>
      <w:r>
        <w:t xml:space="preserve"> </w:t>
      </w:r>
    </w:p>
    <w:p w:rsidR="00413815" w:rsidRDefault="00413815" w:rsidP="00413815">
      <w:pPr>
        <w:spacing w:before="120"/>
        <w:ind w:firstLine="567"/>
        <w:jc w:val="both"/>
      </w:pPr>
      <w:r w:rsidRPr="000C55F5">
        <w:t>Gerhart Hauptmann und der Expressionismus, «Preussische Jahrbücher», 1901, 1922</w:t>
      </w:r>
      <w:r>
        <w:t xml:space="preserve"> </w:t>
      </w:r>
    </w:p>
    <w:p w:rsidR="00413815" w:rsidRPr="000C55F5" w:rsidRDefault="00413815" w:rsidP="00413815">
      <w:pPr>
        <w:spacing w:before="120"/>
        <w:ind w:firstLine="567"/>
        <w:jc w:val="both"/>
      </w:pPr>
      <w:r w:rsidRPr="000C55F5">
        <w:t xml:space="preserve">Neue Wege deutscher Liebesdichtung, «Orphid», 1, Heft 3/4, 1924. Кроме того В. издавал и редактировал целый ряд изданий классиков и </w:t>
      </w:r>
      <w:r>
        <w:t>литературны</w:t>
      </w:r>
      <w:r w:rsidRPr="000C55F5">
        <w:t xml:space="preserve">х сборников. Последним наиболее ценным изданием, редактируемым В., является «Handbuch der Literaturwissenschaft», Potsdam, 1923—1926.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815"/>
    <w:rsid w:val="00002B5A"/>
    <w:rsid w:val="000926D9"/>
    <w:rsid w:val="000C55F5"/>
    <w:rsid w:val="0010437E"/>
    <w:rsid w:val="00413815"/>
    <w:rsid w:val="004B0225"/>
    <w:rsid w:val="00616072"/>
    <w:rsid w:val="00693FA7"/>
    <w:rsid w:val="006A5004"/>
    <w:rsid w:val="00710178"/>
    <w:rsid w:val="00714619"/>
    <w:rsid w:val="008B35EE"/>
    <w:rsid w:val="00905CC1"/>
    <w:rsid w:val="00B42C45"/>
    <w:rsid w:val="00B47B6A"/>
    <w:rsid w:val="00BA4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09873C-CD18-4131-8CB3-2B82D40B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8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13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Оскар Вальцель </vt:lpstr>
    </vt:vector>
  </TitlesOfParts>
  <Company>Home</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Оскар Вальцель </dc:title>
  <dc:subject/>
  <dc:creator>User</dc:creator>
  <cp:keywords/>
  <dc:description/>
  <cp:lastModifiedBy>admin</cp:lastModifiedBy>
  <cp:revision>2</cp:revision>
  <dcterms:created xsi:type="dcterms:W3CDTF">2014-02-15T03:54:00Z</dcterms:created>
  <dcterms:modified xsi:type="dcterms:W3CDTF">2014-02-15T03:54:00Z</dcterms:modified>
</cp:coreProperties>
</file>