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jc w:val="center"/>
        <w:rPr>
          <w:rStyle w:val="FontStyle20"/>
          <w:b/>
          <w:color w:val="000000"/>
          <w:sz w:val="28"/>
        </w:rPr>
      </w:pPr>
      <w:r w:rsidRPr="00980770">
        <w:rPr>
          <w:rStyle w:val="FontStyle20"/>
          <w:b/>
          <w:color w:val="000000"/>
          <w:sz w:val="28"/>
        </w:rPr>
        <w:t>Параметры взаимодействия КНР с мировой экономикой</w:t>
      </w: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097F1C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</w:p>
    <w:p w:rsidR="00C863CA" w:rsidRPr="00980770" w:rsidRDefault="00097F1C" w:rsidP="00980770">
      <w:pPr>
        <w:pStyle w:val="Style2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  <w:r w:rsidRPr="00980770">
        <w:rPr>
          <w:rStyle w:val="FontStyle20"/>
          <w:b/>
          <w:color w:val="000000"/>
          <w:sz w:val="28"/>
        </w:rPr>
        <w:br w:type="page"/>
      </w:r>
      <w:r w:rsidR="00C863CA" w:rsidRPr="00980770">
        <w:rPr>
          <w:rStyle w:val="FontStyle20"/>
          <w:b/>
          <w:color w:val="000000"/>
          <w:sz w:val="28"/>
        </w:rPr>
        <w:t>1. Количественные характеристики роли внешних факторов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color w:val="000000"/>
          <w:sz w:val="28"/>
          <w:szCs w:val="20"/>
        </w:rPr>
      </w:pP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Выдвинутый тезис о неинтегрируемости Китая в мировое хозяйство может показаться небесспорным. Более того, на первый взгляд, он противоречит наблюдаемому в последние двадцать лет росту открытости и конвертируемости китайской экономики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Важным заключительным аккордом в этом процессе стал, в частности, переход к конвертируемости национальной валюты по текущим операциям в 1996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Тем не менее</w:t>
      </w:r>
      <w:r w:rsid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противоречие между неинтегрируемостью и ростом внешнеэкономической открытости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="00980770">
        <w:rPr>
          <w:rStyle w:val="FontStyle20"/>
          <w:color w:val="000000"/>
          <w:sz w:val="28"/>
        </w:rPr>
        <w:t xml:space="preserve">– </w:t>
      </w:r>
      <w:r w:rsidR="00980770" w:rsidRPr="00980770">
        <w:rPr>
          <w:rStyle w:val="FontStyle20"/>
          <w:color w:val="000000"/>
          <w:sz w:val="28"/>
        </w:rPr>
        <w:t>и</w:t>
      </w:r>
      <w:r w:rsidRPr="00980770">
        <w:rPr>
          <w:rStyle w:val="FontStyle20"/>
          <w:color w:val="000000"/>
          <w:sz w:val="28"/>
        </w:rPr>
        <w:t>з разряда мнимых, в конечном счете многое в том или ином определении этих процессов решают конкретные пропорции.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Вместе с тем</w:t>
      </w:r>
      <w:r w:rsidR="00B21BB3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следует сразу отметить, что с точки зрения экономического и политического содержания интеграция и адаптация в отношениях с Западом для стран Востока и Юга различаются принципиально: первая предполагает рост зависимости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последних, вторая же, особенно в случае с Китаем, его гигантским хозяйством и политическими особенностями, означает лишь абсолютное увеличение его взаимодействия с окружающим миром, без роста зависимости и даже с ее ослаблением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что на мой взгляд, и является преобладающим способом развития внешнеэкономических связей КНР в последние полтора десятилетия. Что же касается относительных параметров взаимодействия с мировой экономикой, то оценка направления их движения в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представляется весьма интересным предметом для обсуждения.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 научной литературе есть немало примеров непонимания отмеченного выше обстоятельства. Так, в 80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многие западные специалисты непосредственно связывали политику открытости КНР с усилением зависимости этой страны и поэтому в ряде случаев прогнозировали свертывание указанного курса.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рограмма зависимости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Дэна</w:t>
      </w:r>
      <w:r w:rsidR="00980770">
        <w:rPr>
          <w:rStyle w:val="FontStyle20"/>
          <w:color w:val="000000"/>
          <w:sz w:val="28"/>
        </w:rPr>
        <w:t>–</w:t>
      </w:r>
      <w:r w:rsidRPr="00980770">
        <w:rPr>
          <w:rStyle w:val="FontStyle20"/>
          <w:color w:val="000000"/>
          <w:sz w:val="28"/>
        </w:rPr>
        <w:t>Ху</w:t>
      </w:r>
      <w:r w:rsidR="00980770">
        <w:rPr>
          <w:rStyle w:val="FontStyle20"/>
          <w:color w:val="000000"/>
          <w:sz w:val="28"/>
        </w:rPr>
        <w:t>–</w:t>
      </w:r>
      <w:r w:rsidRPr="00980770">
        <w:rPr>
          <w:rStyle w:val="FontStyle20"/>
          <w:color w:val="000000"/>
          <w:sz w:val="28"/>
        </w:rPr>
        <w:t>Чжао</w:t>
      </w:r>
      <w:r w:rsidR="00F35343" w:rsidRPr="00980770">
        <w:rPr>
          <w:rStyle w:val="FontStyle21"/>
          <w:color w:val="000000"/>
          <w:spacing w:val="0"/>
          <w:sz w:val="28"/>
        </w:rPr>
        <w:t>,</w:t>
      </w:r>
      <w:r w:rsidRPr="00980770">
        <w:rPr>
          <w:rStyle w:val="FontStyle21"/>
          <w:color w:val="000000"/>
          <w:spacing w:val="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возможно, рациональна, но неестественна для Китая. Борьба за независимость и национальное лицо </w:t>
      </w:r>
      <w:r w:rsidRPr="00980770">
        <w:rPr>
          <w:rStyle w:val="FontStyle21"/>
          <w:color w:val="000000"/>
          <w:spacing w:val="0"/>
          <w:sz w:val="28"/>
        </w:rPr>
        <w:t>против</w:t>
      </w:r>
      <w:r w:rsidR="00F35343" w:rsidRPr="00980770">
        <w:rPr>
          <w:rStyle w:val="FontStyle21"/>
          <w:color w:val="000000"/>
          <w:spacing w:val="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зарубежных ценностей хорошо известна в политике развивающихся стран. Однако в Китае она имеет куда более глубокие корни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Сетуя далее на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н</w:t>
      </w:r>
      <w:r w:rsidRPr="00980770">
        <w:rPr>
          <w:rStyle w:val="FontStyle20"/>
          <w:color w:val="000000"/>
          <w:sz w:val="28"/>
        </w:rPr>
        <w:t>епостоянство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Пекина и уход Китая из антисоветского фронта в начале 80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годов, </w:t>
      </w:r>
      <w:r w:rsidR="00980770" w:rsidRPr="00980770">
        <w:rPr>
          <w:rStyle w:val="FontStyle20"/>
          <w:color w:val="000000"/>
          <w:sz w:val="28"/>
        </w:rPr>
        <w:t>А.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Уайтинг</w:t>
      </w:r>
      <w:r w:rsidRPr="00980770">
        <w:rPr>
          <w:rStyle w:val="FontStyle20"/>
          <w:color w:val="000000"/>
          <w:sz w:val="28"/>
        </w:rPr>
        <w:t xml:space="preserve">, наконец, отмечает: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Н</w:t>
      </w:r>
      <w:r w:rsidRPr="00980770">
        <w:rPr>
          <w:rStyle w:val="FontStyle20"/>
          <w:color w:val="000000"/>
          <w:sz w:val="28"/>
        </w:rPr>
        <w:t>е удивительно, что за пределами КНР возникают сомнения в надежности обещаний, что открытые в настоящее время для</w:t>
      </w:r>
      <w:r w:rsidR="00F12932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торговли и инвестиций двери в дальнейшем не будут закрыты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Приведенное высказывание остается достаточно типичным ходом мысли. Нельзя, впрочем, исключить, что первоначально, на рубеже 70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8</w:t>
      </w:r>
      <w:r w:rsidRPr="00980770">
        <w:rPr>
          <w:rStyle w:val="FontStyle20"/>
          <w:color w:val="000000"/>
          <w:sz w:val="28"/>
        </w:rPr>
        <w:t>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годов, именно идея зависимого развития захватила воображение части китайских руководителей. Однако впоследствии эта стратегия, как известно, не получила решающей поддержки. В мае 1982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Дэн Сяопин в беседе с руководителем Либерии выразил свое разочарование по поводу первых результатов нового курса: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В</w:t>
      </w:r>
      <w:r w:rsidRPr="00980770">
        <w:rPr>
          <w:rStyle w:val="FontStyle20"/>
          <w:color w:val="000000"/>
          <w:sz w:val="28"/>
        </w:rPr>
        <w:t xml:space="preserve"> настоящее время мы проводим политику экономической открытости, стремимся использовать иностранные капиталы и передовую технологию, что помогло бы нам в развитии экономики</w:t>
      </w:r>
      <w:r w:rsidR="00980770">
        <w:rPr>
          <w:rStyle w:val="FontStyle20"/>
          <w:color w:val="000000"/>
          <w:sz w:val="28"/>
        </w:rPr>
        <w:t xml:space="preserve">… </w:t>
      </w:r>
      <w:r w:rsidRPr="00980770">
        <w:rPr>
          <w:rStyle w:val="FontStyle20"/>
          <w:color w:val="000000"/>
          <w:sz w:val="28"/>
        </w:rPr>
        <w:t xml:space="preserve">Однако получить капитал и передовую технологию из развитых государств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нелегкое дело. У некоторых людей там по-прежнему на плечах головы старых колониалистов, они желают нам смерти и не хотят, чтобы мы развивались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осле выдвижения политики открытости в течение некоторого времени существовала точка зрения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что ускорения роста можно добиться, занимаясь «четырьмя модернизациями» с опорой на зарубежные государства. На деле это была попытка «купить» модернизацию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упоминал в этой связи Чэнь Юнь, ведущий архитектор обновленной экономической политики КНР.</w:t>
      </w:r>
    </w:p>
    <w:p w:rsidR="00C863CA" w:rsidRPr="00980770" w:rsidRDefault="00C863CA" w:rsidP="00980770">
      <w:pPr>
        <w:pStyle w:val="Style8"/>
        <w:widowControl/>
        <w:spacing w:line="360" w:lineRule="auto"/>
        <w:ind w:firstLine="709"/>
        <w:jc w:val="both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 xml:space="preserve">В своей недавней монографии </w:t>
      </w:r>
      <w:r w:rsidR="00980770" w:rsidRPr="00980770">
        <w:rPr>
          <w:rStyle w:val="FontStyle20"/>
          <w:color w:val="000000"/>
          <w:sz w:val="28"/>
        </w:rPr>
        <w:t>В.Я.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Портяков</w:t>
      </w:r>
      <w:r w:rsidRPr="00980770">
        <w:rPr>
          <w:rStyle w:val="FontStyle20"/>
          <w:color w:val="000000"/>
          <w:sz w:val="28"/>
        </w:rPr>
        <w:t>, характеризуя значение периода 1984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1</w:t>
      </w:r>
      <w:r w:rsidRPr="00980770">
        <w:rPr>
          <w:rStyle w:val="FontStyle20"/>
          <w:color w:val="000000"/>
          <w:sz w:val="28"/>
        </w:rPr>
        <w:t>988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гг</w:t>
      </w:r>
      <w:r w:rsidRPr="00980770">
        <w:rPr>
          <w:rStyle w:val="FontStyle20"/>
          <w:color w:val="000000"/>
          <w:sz w:val="28"/>
        </w:rPr>
        <w:t xml:space="preserve">., справедливо отмечает: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оявляется устойчивая тенденция отхода от чрезмерной «экономизации»</w:t>
      </w:r>
      <w:r w:rsidR="00F12932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проблем модернизации, все большее внимание уделяется демографическим, социальным, экологическим аспектам модернизации, высказывается мысль о необходимости обеспечения скоординированного экономического и социального развития страны. Предпринимаются первые попытки оценить воздействие традиций Китая на процесс его модернизации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10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 xml:space="preserve">Одним из внешних факторов, заставивших усомниться в целесообразности упомянутой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окупки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модернизации, было снижение мировых цен на сырьевые и топливные товары в середине 80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Доходы от экспорта нефти и нефтепродуктов составляли тогда примерно четверть валютных поступлений Китая, а вместе с сырьем и продовольствием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около 5</w:t>
      </w:r>
      <w:r w:rsidR="00980770" w:rsidRPr="00980770">
        <w:rPr>
          <w:rStyle w:val="FontStyle20"/>
          <w:color w:val="000000"/>
          <w:sz w:val="28"/>
        </w:rPr>
        <w:t>0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. Соответственно, с ухудшением мировой конъюнктуры возможность экономического ускорения за счет экспорта топлива и сырья практически закрывалась. Начинала казаться авантюрной и идея крупных заимствований на мировых рынках финансового капитала или получения гигантской ссуды у МВФ/МБРР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К тому же ослабление централизованного контроля за развитием внешнеэкономических связей обернулось к середине 80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 резким ростом импорта потребительских товаров, спекуляции ими, увеличением контрабанды, разного рода махинаций </w:t>
      </w:r>
      <w:r w:rsidR="00980770">
        <w:rPr>
          <w:rStyle w:val="FontStyle20"/>
          <w:color w:val="000000"/>
          <w:sz w:val="28"/>
        </w:rPr>
        <w:t>и т.п.</w:t>
      </w:r>
      <w:r w:rsidRPr="00980770">
        <w:rPr>
          <w:rStyle w:val="FontStyle20"/>
          <w:color w:val="000000"/>
          <w:sz w:val="28"/>
        </w:rPr>
        <w:t xml:space="preserve"> Не происходило в первой половине десятилетия и улучшения структуры внешней торговли Китая: доля в экспорте сырья, продуктов его первичной переработки, а также топлива повысилась с 4</w:t>
      </w:r>
      <w:r w:rsidR="00980770" w:rsidRPr="00980770">
        <w:rPr>
          <w:rStyle w:val="FontStyle20"/>
          <w:color w:val="000000"/>
          <w:sz w:val="28"/>
        </w:rPr>
        <w:t>7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в 1981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до 5</w:t>
      </w:r>
      <w:r w:rsidR="00980770" w:rsidRPr="00980770">
        <w:rPr>
          <w:rStyle w:val="FontStyle20"/>
          <w:color w:val="000000"/>
          <w:sz w:val="28"/>
        </w:rPr>
        <w:t>1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в 1985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 xml:space="preserve">г. </w:t>
      </w:r>
      <w:r w:rsidRPr="00980770">
        <w:rPr>
          <w:rStyle w:val="FontStyle20"/>
          <w:color w:val="000000"/>
          <w:sz w:val="28"/>
        </w:rPr>
        <w:t>Достаточно напряженным оставалось валютно-финансовое положение страны, крупных непредвиденных расходов требовало и освоение зарубежных технологий и совместное предпринимательство, в том числе в специальных экономических зонах.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 результате в середине 80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 в Китае надолго отказались от мысли о форсированной интеграции в мировое хозяйство. При этом развернулось движение по жесткому упорядочение деятельности внешнеторговых компаний на местах. За последними закреплялась определенная товарная номенклатура, обязательным стало наличие экспортного плана. Компаниям ниже провинциального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уровня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вообще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запретили заниматься внешнеторговыми операциями. Прошедшие годы показали плодотворность выработанного тогда осторожного подхода, хорошо вписавшегося в рассмотренный в предыдущей главе алгоритм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о</w:t>
      </w:r>
      <w:r w:rsidRPr="00980770">
        <w:rPr>
          <w:rStyle w:val="FontStyle20"/>
          <w:color w:val="000000"/>
          <w:sz w:val="28"/>
        </w:rPr>
        <w:t xml:space="preserve">тпустить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зажать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Поэтому можно сказать, что последовавшими и нынешними своими внешнеэкономическими успехами КНР обязана отнюдь не одним только инициаторам реформ конца 70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годов, но и вовремя проведенной корректировке курса преобразований, содержание которой составило своего рода возвращению к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о</w:t>
      </w:r>
      <w:r w:rsidRPr="00980770">
        <w:rPr>
          <w:rStyle w:val="FontStyle20"/>
          <w:color w:val="000000"/>
          <w:sz w:val="28"/>
        </w:rPr>
        <w:t>поре на собственные силы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но уже, разумеется, в модернизированной версии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 учетом накопленного позитивного и негативного опыта.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Количественные оценки китайского хозяйства еще некоторое время назад вызывали серьезные затруднения у специалистов, использовавших разные методики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Однако с течением времени методические сложности были в значительной мере преодолены. Во-первых, общепринятым в международной статистике стало сравнение национальных валют по их покупательной способности на внутренних рынках, или так называемому паритету покупательной способности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ППС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Во-вторых, с декабря 1996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китайский юань официально является валютой, конвертируемой по текущим операциям. Фактически это означает конвертируемость китайской экономики, то есть производимых ею товаров и услуг, при сложившихся внутри страны ценах (причем даже в некоторой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ретроспективе). А уровень последних в КНР, как известно, существенно ниже, чем в развитых, некоторых развивающихся, новоиндустриальных и так называемых переходных странах</w:t>
      </w:r>
      <w:r w:rsidR="00F35343"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Расчет ВВП Китая по ППС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на 1997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дает величину примерно в 3,5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4</w:t>
      </w:r>
      <w:r w:rsidRP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трлн.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долл</w:t>
      </w:r>
      <w:r w:rsidRPr="00980770">
        <w:rPr>
          <w:rStyle w:val="FontStyle20"/>
          <w:color w:val="000000"/>
          <w:sz w:val="28"/>
        </w:rPr>
        <w:t>.; в США аналогичный показатель оценивался в 7,5 трлн.; в Японии составлял около 3 трлн. К сожалению, далеко не всегда соответствующая поправка делается при определении такого важного показателя, как доля внешней торговли в ВВП. Понятно, что при соответствии производимых в Китае товаров и услуг среднемировым стандартам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прямое сопоставление объема внешней торговли с ВВП, рассчитанное по текущему курсу валют, теряет смысл, если иметь в виду совокупную хозяйственную мощь страны и роль в ней внешних факторов. Куда более точным будет соотнесение этих величин с учетом внутренней покупательной способности национальных денежных единиц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Соответствующие пересчеты необходимы и при определении роли иностранных инвестиций в экономике страны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и при многих других вычислениях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скажем, энергоемкости национального продукта </w:t>
      </w:r>
      <w:r w:rsidR="00980770">
        <w:rPr>
          <w:rStyle w:val="FontStyle20"/>
          <w:color w:val="000000"/>
          <w:sz w:val="28"/>
        </w:rPr>
        <w:t>и т.д.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Применительно к теме данной работы необходимо подчеркнуть, что вывод о росте вовлеченности КНР в мировую экономику в последнее десятилетие, ставший общим местом сотен работ по Китаю, не получает подтверждения. Это хорошо видно из данных таблицы 9. К тому же описанные в предыдущей главе статистические парадоксы, возникшие после восстановления суверенитета над Сянганом, вполне могут трактоваться в пользу мнения об еще более низкой зависимости основного массива</w:t>
      </w:r>
      <w:r w:rsidR="00F12932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китайского хозяйства от внешних факторов, в том числе от прямых иностранных инвестиций. Последние к тому же в настоящее время имеют тенденцию с снижению: после сокращения в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на </w:t>
      </w:r>
      <w:r w:rsidR="00980770" w:rsidRPr="00980770">
        <w:rPr>
          <w:rStyle w:val="FontStyle20"/>
          <w:color w:val="000000"/>
          <w:sz w:val="28"/>
        </w:rPr>
        <w:t>7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за первые пять месяцев 1999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объем реализованных в КНР зарубежных капиталовложений уменьшился, по некоторым данным, на 1</w:t>
      </w:r>
      <w:r w:rsidR="00980770" w:rsidRPr="00980770">
        <w:rPr>
          <w:rStyle w:val="FontStyle20"/>
          <w:color w:val="000000"/>
          <w:sz w:val="28"/>
        </w:rPr>
        <w:t>7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. По другим данным, снижение объема реализованных прямых инвестиций в КНР составило в первом квартале 1999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14,</w:t>
      </w:r>
      <w:r w:rsidR="00980770" w:rsidRPr="00980770">
        <w:rPr>
          <w:rStyle w:val="FontStyle20"/>
          <w:color w:val="000000"/>
          <w:sz w:val="28"/>
        </w:rPr>
        <w:t>6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  <w:vertAlign w:val="superscript"/>
        </w:rPr>
      </w:pPr>
      <w:r w:rsidRPr="00980770">
        <w:rPr>
          <w:rStyle w:val="FontStyle20"/>
          <w:color w:val="000000"/>
          <w:sz w:val="28"/>
        </w:rPr>
        <w:t>Ситуация с притоком прямых иностранных капиталовложений в соседние с Китаем государства стала в 1997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1</w:t>
      </w:r>
      <w:r w:rsidRPr="00980770">
        <w:rPr>
          <w:rStyle w:val="FontStyle20"/>
          <w:color w:val="000000"/>
          <w:sz w:val="28"/>
        </w:rPr>
        <w:t>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гг</w:t>
      </w:r>
      <w:r w:rsidRPr="00980770">
        <w:rPr>
          <w:rStyle w:val="FontStyle20"/>
          <w:color w:val="000000"/>
          <w:sz w:val="28"/>
        </w:rPr>
        <w:t>. весьма контрастной. Так, в Индонезии их приток в 1997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сменился оттоком 1 </w:t>
      </w:r>
      <w:r w:rsidR="00980770" w:rsidRPr="00980770">
        <w:rPr>
          <w:rStyle w:val="FontStyle20"/>
          <w:color w:val="000000"/>
          <w:sz w:val="28"/>
        </w:rPr>
        <w:t>млрд.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долл</w:t>
      </w:r>
      <w:r w:rsidRPr="00980770">
        <w:rPr>
          <w:rStyle w:val="FontStyle20"/>
          <w:color w:val="000000"/>
          <w:sz w:val="28"/>
        </w:rPr>
        <w:t>. в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В Южной</w:t>
      </w:r>
      <w:r w:rsidR="00F12932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Корее и Таиланде в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наблюдалось резкое увеличение объема прямых зарубежных капиталовложений по сравнению с предыдущим годом, соответственно, с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2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до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5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и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4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до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7 </w:t>
      </w:r>
      <w:r w:rsidR="00980770" w:rsidRPr="00980770">
        <w:rPr>
          <w:rStyle w:val="FontStyle20"/>
          <w:color w:val="000000"/>
          <w:sz w:val="28"/>
        </w:rPr>
        <w:t>млрд.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долл</w:t>
      </w:r>
      <w:r w:rsidRPr="00980770">
        <w:rPr>
          <w:rStyle w:val="FontStyle20"/>
          <w:color w:val="000000"/>
          <w:sz w:val="28"/>
        </w:rPr>
        <w:t>. В рассматриваемый период указанный показатель оставался стабильным на Филиппинах и слегка уменьшился в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в Малайзии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с 5 до менее 4 </w:t>
      </w:r>
      <w:r w:rsidR="00980770" w:rsidRPr="00980770">
        <w:rPr>
          <w:rStyle w:val="FontStyle20"/>
          <w:color w:val="000000"/>
          <w:sz w:val="28"/>
        </w:rPr>
        <w:t>млрд.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долл</w:t>
      </w:r>
      <w:r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Вопрос о правомерности подсчета доли внешней торговли в ВВП по ППС принято считать дискуссионным. Применительно к разным по масштабам хозяйства странам, на мой взгляд, нужен дифференцированный подход. В случае с Китаем правомерность расчетов по ППС представляется очевидной. Их макроэкономическая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точность проще всего доказывается от обратного: взяв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к</w:t>
      </w:r>
      <w:r w:rsidRPr="00980770">
        <w:rPr>
          <w:rStyle w:val="FontStyle20"/>
          <w:color w:val="000000"/>
          <w:sz w:val="28"/>
        </w:rPr>
        <w:t>урсовой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показатель мы не сможем объяснить феномен постоянства высоких темпов роста ВВП при огромных колебаниях в динамике экспорта и импорта в последние несколько лет. В 1995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объем внешней торговли КНР увеличился на 18,</w:t>
      </w:r>
      <w:r w:rsidR="00980770" w:rsidRPr="00980770">
        <w:rPr>
          <w:rStyle w:val="FontStyle20"/>
          <w:color w:val="000000"/>
          <w:sz w:val="28"/>
        </w:rPr>
        <w:t>6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, в 1996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прирост составил лишь 3,</w:t>
      </w:r>
      <w:r w:rsidR="00980770" w:rsidRPr="00980770">
        <w:rPr>
          <w:rStyle w:val="FontStyle20"/>
          <w:color w:val="000000"/>
          <w:sz w:val="28"/>
        </w:rPr>
        <w:t>2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, в 1997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этот показатель равнялся 12,</w:t>
      </w:r>
      <w:r w:rsidR="00980770" w:rsidRPr="00980770">
        <w:rPr>
          <w:rStyle w:val="FontStyle20"/>
          <w:color w:val="000000"/>
          <w:sz w:val="28"/>
        </w:rPr>
        <w:t>0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, а в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внешнеторговый оборот сохранился примерно на уровне предыдущего года. Прирост же ВВП в эти четыре года составлял, соответственно: 10,</w:t>
      </w:r>
      <w:r w:rsidR="00980770" w:rsidRPr="00980770">
        <w:rPr>
          <w:rStyle w:val="FontStyle20"/>
          <w:color w:val="000000"/>
          <w:sz w:val="28"/>
        </w:rPr>
        <w:t>2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; 9,</w:t>
      </w:r>
      <w:r w:rsidR="00980770" w:rsidRPr="00980770">
        <w:rPr>
          <w:rStyle w:val="FontStyle20"/>
          <w:color w:val="000000"/>
          <w:sz w:val="28"/>
        </w:rPr>
        <w:t>7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; 8,</w:t>
      </w:r>
      <w:r w:rsidR="00980770" w:rsidRPr="00980770">
        <w:rPr>
          <w:rStyle w:val="FontStyle20"/>
          <w:color w:val="000000"/>
          <w:sz w:val="28"/>
        </w:rPr>
        <w:t>5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и 7,</w:t>
      </w:r>
      <w:r w:rsidR="00980770" w:rsidRPr="00980770">
        <w:rPr>
          <w:rStyle w:val="FontStyle20"/>
          <w:color w:val="000000"/>
          <w:sz w:val="28"/>
        </w:rPr>
        <w:t>8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. Поквартальная же статистика фиксировала разнонаправленные векторы в динамике, причем ускорение в темпах роста ВВП в конце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происходило в Китае при абсолютном снижении объема внешней торговли. В целом за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доля внешней торговли в ВВП КНР сократилась: существенное снижение объемов экспорта и импорта во второй половине года сопровождалась в этот период увеличением ВВП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А в первом квартале 1999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рост ВВП на 8,</w:t>
      </w:r>
      <w:r w:rsidR="00980770" w:rsidRPr="00980770">
        <w:rPr>
          <w:rStyle w:val="FontStyle20"/>
          <w:color w:val="000000"/>
          <w:sz w:val="28"/>
        </w:rPr>
        <w:t>3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происходил одновременно с падением экспорта на 7,</w:t>
      </w:r>
      <w:r w:rsidR="00980770" w:rsidRPr="00980770">
        <w:rPr>
          <w:rStyle w:val="FontStyle20"/>
          <w:color w:val="000000"/>
          <w:sz w:val="28"/>
        </w:rPr>
        <w:t>3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и незначительным приростом общего товарооборота внешней торговли за счет роста импорта на 1</w:t>
      </w:r>
      <w:r w:rsidR="00980770" w:rsidRPr="00980770">
        <w:rPr>
          <w:rStyle w:val="FontStyle20"/>
          <w:color w:val="000000"/>
          <w:sz w:val="28"/>
        </w:rPr>
        <w:t>2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. Поэтому и с точки зрения нынешней динамики процессов роста, с одной стороны, и развития внешнеэкономических связей, с другой, говорить об усилении интеграции КНР в мировое хозяйство не приходится.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Приняв долю внешней торговли в ВВП Китая равной примерно 4</w:t>
      </w:r>
      <w:r w:rsidR="00980770" w:rsidRPr="00980770">
        <w:rPr>
          <w:rStyle w:val="FontStyle20"/>
          <w:color w:val="000000"/>
          <w:sz w:val="28"/>
        </w:rPr>
        <w:t>0</w:t>
      </w:r>
      <w:r w:rsidR="00980770">
        <w:rPr>
          <w:rStyle w:val="FontStyle20"/>
          <w:color w:val="000000"/>
          <w:sz w:val="28"/>
        </w:rPr>
        <w:t>%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придется также констатировать, что КНР почти достигла среднемирового уровня экспортной квоты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Однако в таком случае показатели удельного веса страны в мировом товарном и промышленном экспорте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соответственно 2,88 и 3,3</w:t>
      </w:r>
      <w:r w:rsidR="00980770" w:rsidRPr="00980770">
        <w:rPr>
          <w:rStyle w:val="FontStyle20"/>
          <w:color w:val="000000"/>
          <w:sz w:val="28"/>
        </w:rPr>
        <w:t>9</w:t>
      </w:r>
      <w:r w:rsidR="00980770">
        <w:rPr>
          <w:rStyle w:val="FontStyle20"/>
          <w:color w:val="000000"/>
          <w:sz w:val="28"/>
        </w:rPr>
        <w:t>%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окажутся многократно ниже доли страны в мировом производстве промышленной и сельскохозяйственной продукции. Кроме того, указанный выше среднемировой индикатор экспортной квоты соответствовал, например, уровню включенности в мировое хозяйство Индонезии. Вряд ли можно согласиться с утверждением, что в КНР он такой же, как у этой островной страны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или, скажем, всего лишь в два с половиной раза ниже, чем у Тайваня; выше, чем у Японии, где экспортная квота составляет около </w:t>
      </w:r>
      <w:r w:rsidR="00980770" w:rsidRPr="00980770">
        <w:rPr>
          <w:rStyle w:val="FontStyle20"/>
          <w:color w:val="000000"/>
          <w:sz w:val="28"/>
        </w:rPr>
        <w:t>9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</w:t>
      </w:r>
      <w:r w:rsidR="00980770">
        <w:rPr>
          <w:rStyle w:val="FontStyle20"/>
          <w:color w:val="000000"/>
          <w:sz w:val="28"/>
        </w:rPr>
        <w:t>и т.д.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 xml:space="preserve">Приведу еще один аргумент против использования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к</w:t>
      </w:r>
      <w:r w:rsidRPr="00980770">
        <w:rPr>
          <w:rStyle w:val="FontStyle20"/>
          <w:color w:val="000000"/>
          <w:sz w:val="28"/>
        </w:rPr>
        <w:t>урсового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показателя в качестве критерия при определении роли внешних факторов в экономике гигантской страны. Как известно, доля сельского хозяйства и услуг в ВВП Китая превышает половину. Оба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сектора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характеризуются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минимальным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удельным весом интернационального компонента. Поэтому, предположив, что удельный вес внешней торговли в хозяйстве страны колеблется на уровне 40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45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, придется чуть ли не целиком включить продукт китайской промышленности в международный оборот, что, разумеется, очень далеко от действительности.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И наконец, еще одно соображение. Развитие рыночных отношений в странах с плановыми в прошлом экономиками обычно ведет к становлению достаточно крупного пласта так называемой теневой экономики, бартеризации и натурализации хозяйственной жизни. Соответственно, статистика перестает улавливать значительную часть внутреннего продукта. В то же время в случае с КНР необходимо отметить высокую надежность таможенной статистики, относительно скромные масштабы контрабанды, занижения стоимости контрактов. Поэтому реальное соотношение между ВВП и внешним товарооборотом больше, чем это представляют любые способы подсчета.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 xml:space="preserve">Из приведенных выше наблюдений за динамикой роста ВВП и объема внешней торговли Китая следует, как представляется, вывод, существенный для проведения границы между хозяйством этой страны и так называемыми новоиндустриальными экономиками. Хорошо заметно принципиальное отличие КНР от НИС первой и второй волны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китайское хозяйство может в течение длительного времени развиваться стабильно высокими темпами </w:t>
      </w:r>
      <w:r w:rsidRPr="00980770">
        <w:rPr>
          <w:rStyle w:val="FontStyle23"/>
          <w:color w:val="000000"/>
          <w:sz w:val="28"/>
        </w:rPr>
        <w:t xml:space="preserve">независимо </w:t>
      </w:r>
      <w:r w:rsidRPr="00980770">
        <w:rPr>
          <w:rStyle w:val="FontStyle20"/>
          <w:color w:val="000000"/>
          <w:sz w:val="28"/>
        </w:rPr>
        <w:t>от тенденций в динамике внешнеторгового оборота. Экономики же большинства стран ЮВВА, будучи гораздо более подверженными влиянию внешних факторов, не могут обеспечить роста ВВП при сколько-нибудь продолжительных неблагоприятных экзогенных воздействиях и снижении объемов мирохозяйственных связей.</w:t>
      </w:r>
    </w:p>
    <w:p w:rsidR="00C863CA" w:rsidRPr="00980770" w:rsidRDefault="00C863CA" w:rsidP="00980770">
      <w:pPr>
        <w:pStyle w:val="Style4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 xml:space="preserve">Вероятно, эту границу можно с известной степенью условности принять и за разделительную черту между Китаем и НИС с точки зрения их современного положения в мировом хозяйстве, а также зависимым и независимым экономическим развитием, обозначить этот рубеж как признак асимметричной зависимости </w:t>
      </w:r>
      <w:r w:rsidR="00980770">
        <w:rPr>
          <w:rStyle w:val="FontStyle20"/>
          <w:color w:val="000000"/>
          <w:sz w:val="28"/>
        </w:rPr>
        <w:t>и т.п.</w:t>
      </w:r>
    </w:p>
    <w:p w:rsidR="00C863CA" w:rsidRPr="00980770" w:rsidRDefault="00C863CA" w:rsidP="00980770">
      <w:pPr>
        <w:pStyle w:val="Style4"/>
        <w:widowControl/>
        <w:spacing w:line="360" w:lineRule="auto"/>
        <w:ind w:firstLine="709"/>
        <w:rPr>
          <w:color w:val="000000"/>
          <w:sz w:val="28"/>
          <w:szCs w:val="20"/>
        </w:rPr>
      </w:pPr>
    </w:p>
    <w:p w:rsidR="00C863CA" w:rsidRPr="00980770" w:rsidRDefault="00C863CA" w:rsidP="00980770">
      <w:pPr>
        <w:pStyle w:val="Style4"/>
        <w:widowControl/>
        <w:spacing w:line="360" w:lineRule="auto"/>
        <w:ind w:firstLine="709"/>
        <w:rPr>
          <w:rStyle w:val="FontStyle20"/>
          <w:b/>
          <w:color w:val="000000"/>
          <w:sz w:val="28"/>
        </w:rPr>
      </w:pPr>
      <w:r w:rsidRPr="00980770">
        <w:rPr>
          <w:rStyle w:val="FontStyle20"/>
          <w:b/>
          <w:color w:val="000000"/>
          <w:sz w:val="28"/>
        </w:rPr>
        <w:t>2. Основные хозяйственные и внешнеэкономические показатели</w:t>
      </w:r>
    </w:p>
    <w:p w:rsidR="00F12932" w:rsidRPr="00980770" w:rsidRDefault="00F12932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 связи с высказанными выше соображениями, представляется очевидным, что относительно невысокая непосредственная вовлеченность Китая в мировую экономику, как раз и оказалась одним из важнейших факторов, обеспечивших устойчивость хозяйства страны по отношению к валютно-финансовому и торгово-экономическому кризису в тихоокеанской Азии в 1997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1</w:t>
      </w:r>
      <w:r w:rsidRPr="00980770">
        <w:rPr>
          <w:rStyle w:val="FontStyle20"/>
          <w:color w:val="000000"/>
          <w:sz w:val="28"/>
        </w:rPr>
        <w:t>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гг</w:t>
      </w:r>
      <w:r w:rsidRPr="00980770">
        <w:rPr>
          <w:rStyle w:val="FontStyle20"/>
          <w:color w:val="000000"/>
          <w:sz w:val="28"/>
        </w:rPr>
        <w:t xml:space="preserve">. КНР удалось в тот период удержать высокие темпы роста производства, а в 1997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начале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гг</w:t>
      </w:r>
      <w:r w:rsidRPr="00980770">
        <w:rPr>
          <w:rStyle w:val="FontStyle20"/>
          <w:color w:val="000000"/>
          <w:sz w:val="28"/>
        </w:rPr>
        <w:t xml:space="preserve">.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и экспорта; ее валютные резервы продолжали увеличиваться, превысив в середине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годовой импорт, росли они и после начала падения экспорта во второй половине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., увеличивались они и в 1999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Внешний долг Китая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представлен главным образом среднесрочными и долгосрочными льготными кредитами, коэффициент его обслуживания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составляет не более 5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6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.</w:t>
      </w:r>
    </w:p>
    <w:p w:rsidR="00F12932" w:rsidRPr="00980770" w:rsidRDefault="00C863CA" w:rsidP="00980770">
      <w:pPr>
        <w:pStyle w:val="Style4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Тот факт, что динамичный экономический рост отнюдь не всегда предполагает увеличение доли внешней торговли в ВВП даже не в очень крупных странах, известен из азиатского хозяйственного опыта. При всей разнице условий в мировой экономике в отдельные периоды показателен пример Турции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В 60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среднегодовой прирост ВНП составил в этой стране 7,</w:t>
      </w:r>
      <w:r w:rsidR="00980770" w:rsidRPr="00980770">
        <w:rPr>
          <w:rStyle w:val="FontStyle20"/>
          <w:color w:val="000000"/>
          <w:sz w:val="28"/>
        </w:rPr>
        <w:t>0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больше, чем в Афганистане, Бирме, Индии, Египте, Малайзии, на Филиппинах, чуть меньше, чем в Кувейте и Таиланде. Одновременно доля внешней торговли в ВНП Турции существенно сократилась. Список таких примеров легко продолжить. Примечательно, что до первой мировой войны доля внешней торговли в ВВП Японии была выше, чем в настоящее время </w:t>
      </w:r>
      <w:r w:rsidR="00980770">
        <w:rPr>
          <w:rStyle w:val="FontStyle20"/>
          <w:color w:val="000000"/>
          <w:sz w:val="28"/>
        </w:rPr>
        <w:t>и т.п.</w:t>
      </w:r>
      <w:r w:rsidRPr="00980770">
        <w:rPr>
          <w:rStyle w:val="FontStyle20"/>
          <w:color w:val="000000"/>
          <w:sz w:val="28"/>
        </w:rPr>
        <w:t xml:space="preserve"> Китайский специалист Ван</w:t>
      </w:r>
      <w:r w:rsidR="00F12932" w:rsidRPr="00980770">
        <w:rPr>
          <w:rStyle w:val="FontStyle20"/>
          <w:color w:val="000000"/>
          <w:sz w:val="28"/>
        </w:rPr>
        <w:t xml:space="preserve"> Хуайнин обращает внимание на то, что в начале XX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в</w:t>
      </w:r>
      <w:r w:rsidR="00F12932" w:rsidRPr="00980770">
        <w:rPr>
          <w:rStyle w:val="FontStyle20"/>
          <w:color w:val="000000"/>
          <w:sz w:val="28"/>
        </w:rPr>
        <w:t xml:space="preserve">. объем мировой торговли достигал трети ВВП, а в конце столетия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="00F12932" w:rsidRPr="00980770">
        <w:rPr>
          <w:rStyle w:val="FontStyle20"/>
          <w:color w:val="000000"/>
          <w:sz w:val="28"/>
        </w:rPr>
        <w:t xml:space="preserve">лишь одну пятую. Еще больше разрыв по накопленным за рубежами развитых стран капиталовложениям: в начале века около трети годового мирового ВВП, в конце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="00F12932" w:rsidRPr="00980770">
        <w:rPr>
          <w:rStyle w:val="FontStyle20"/>
          <w:color w:val="000000"/>
          <w:sz w:val="28"/>
        </w:rPr>
        <w:t>лишь 10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12</w:t>
      </w:r>
      <w:r w:rsidR="00980770">
        <w:rPr>
          <w:rStyle w:val="FontStyle20"/>
          <w:color w:val="000000"/>
          <w:sz w:val="28"/>
        </w:rPr>
        <w:t>%</w:t>
      </w:r>
      <w:r w:rsidR="00F12932"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Фундаментальное своеобразие развитию хозяйства Китая и его нынешнему положению в мировой экономике придает аграрный фактор. В отличие от многих азиатских стран, попавших в отношения зависимости от Запада из-за высокой доли в импорте продовольствия и особенно зерна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КНР в начале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 добилась устойчивого самообеспечения в этой критически важной области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Причем, стоит подчеркнуть, что зерновой сектор агропроизводства развивался в этот период наименее динамично</w:t>
      </w:r>
      <w:r w:rsidR="00F35343"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Объясняется это довольно просто: в рационе большинства китайцев, сначала горожан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а с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 и основной части крестьян произошел, по-видимому, важный и необратимый структурный сдвиг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относительное и абсолютное уменьшение доли зерновых продуктов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Аналогичный процесс происходил в Японии, Сингапуре, на Тайване и в Гонконге в 70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годы, а в 80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в Южной Корее. В Японии, например, потребление риса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в 70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снизилось со 108 до 91 кг, в Сингапуре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с 95 до 81 кг, на Тайване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со 145 до 122 кг. Потребление пшеницы во всех перечисленных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странах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и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территориях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было относительно</w:t>
      </w:r>
      <w:r w:rsidR="00F12932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стабильным или снижалось и выросло в 70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только в Сингапуре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с 55 до 63 кг. </w:t>
      </w:r>
      <w:r w:rsidR="00F12932" w:rsidRPr="00980770">
        <w:rPr>
          <w:rStyle w:val="FontStyle20"/>
          <w:color w:val="000000"/>
          <w:sz w:val="28"/>
        </w:rPr>
        <w:t xml:space="preserve">Сокращение </w:t>
      </w:r>
      <w:r w:rsidRPr="00980770">
        <w:rPr>
          <w:rStyle w:val="FontStyle20"/>
          <w:color w:val="000000"/>
          <w:sz w:val="28"/>
        </w:rPr>
        <w:t>доли зерновых в рационе принято считать свидетельством того, что страна практически решила продовольственную проблему. Вдобавок, темпы естественного прироста населения в конце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 оказались в Китае ниже ожидавшихся, в частности, в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данный показатель впервые не достиг </w:t>
      </w:r>
      <w:r w:rsidR="00980770" w:rsidRPr="00980770">
        <w:rPr>
          <w:rStyle w:val="FontStyle20"/>
          <w:color w:val="000000"/>
          <w:sz w:val="28"/>
        </w:rPr>
        <w:t>1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. Коэффициент Энгеля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характеризуется относительно небольшим разрывом между городом и деревней: соответственно 46 и 5</w:t>
      </w:r>
      <w:r w:rsidR="00980770" w:rsidRPr="00980770">
        <w:rPr>
          <w:rStyle w:val="FontStyle20"/>
          <w:color w:val="000000"/>
          <w:sz w:val="28"/>
        </w:rPr>
        <w:t>5</w:t>
      </w:r>
      <w:r w:rsidR="00980770">
        <w:rPr>
          <w:rStyle w:val="FontStyle20"/>
          <w:color w:val="000000"/>
          <w:sz w:val="28"/>
        </w:rPr>
        <w:t>%</w:t>
      </w:r>
      <w:r w:rsidR="00F35343"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  <w:vertAlign w:val="superscript"/>
        </w:rPr>
      </w:pPr>
      <w:r w:rsidRPr="00980770">
        <w:rPr>
          <w:rStyle w:val="FontStyle20"/>
          <w:color w:val="000000"/>
          <w:sz w:val="28"/>
        </w:rPr>
        <w:t>Несколько нарушил картину нарастания продовольственного самообеспечения в КНР неурожай 1994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В 1995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китайские организации произвели крупные закупки американской пшеницы, вызвав, во-первых, значительное повышение цен на нее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а во-вторых, обильное количество публикаций по поводу грозящей миру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родовольственной угрозы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в лице Китая. Наибольшую известность получили работы Лестера Брауна, содержавшие, в частности, прогноз, согласно которому дефицит зерна в Китае к 2030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должен был бы составить от 207 до 369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>. Среди неудачных среднесрочных прогнозов можно отметить, например, предположение, касающееся производства, потребления и импорта зерна в КНР на 2000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., сделанное в 1996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., соответственно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410, 449 и 39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 действительности, помимо неурожая, масштабные китайские закупки зерновых были вызваны еще рядом факторов, в том числе хаосом на внутреннем рынке и недостаточной координацией внешнеэкономической работы. Правительство КНР предприняло жесткую программу увеличения производства зерна и упорядочения торговли им. Было проведено несколько мероприятий, включавших повышение личной ответственности губернаторов и мэров за снабжение населения зерном и овощами. В рамках наведения порядка в 1995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Госсовет отозвал у правительств провинций и право производить экспортно-импортные операции с зерном. В результате, если в 1994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государственная торговля контролировала менее половины рынка зерна, то в 1995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70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80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>. А в 1996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КНР вновь стала нетто-экспортером зерновых.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Характерны для современной ситуации меры, принятые в начале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Госсоветом КНР. Предусматривались в частности следующие практические шаги: приобретение госкомпаниями у крестьян излишков зерна в соответствии с установленным правительством уровнем поддерживаемых цен, продажа указанными компаниями зерна с минимальной прибылью, санкции за продажу зерна по ценам ниже государственных, а также передачу части прибыли местным органам власти. В совокупности эти меры можно охарактеризовать как усиление централизованного контроля за рынком.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Важно, что Китай практически полностью обеспечивает себя и другими сельскохозяйственными продуктами, продолжая вывозить на внешние рынки постоянно увеличивающийся в абсолютном выражении объем товаров традиционного китайского пищевого экспорта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и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относительно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новых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позиций экспортного растениеводства и животноводства. Среди них овощи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свежие яйца, прудовая рыба и продукция водных промыслов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молодые побеги бамбука, грибы, консервированная спаржа, чай, мед, срезанные цветы, карликовые декоративные деревья и еще множество позиций. Это во многом отличает Китай от большинства соседних азиатских стран, а также других крупных государств Востока, особенно экспортеров нефти, в том числе с точки зрения динамики процесса продовольственного самообеспечения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Во второй половине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 доля продовольствия в импорте КНР сократилась с 4,6 до 2,</w:t>
      </w:r>
      <w:r w:rsidR="00980770" w:rsidRPr="00980770">
        <w:rPr>
          <w:rStyle w:val="FontStyle20"/>
          <w:color w:val="000000"/>
          <w:sz w:val="28"/>
        </w:rPr>
        <w:t>7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, в экспорте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 6,7 до 5,</w:t>
      </w:r>
      <w:r w:rsidR="00980770" w:rsidRPr="00980770">
        <w:rPr>
          <w:rStyle w:val="FontStyle20"/>
          <w:color w:val="000000"/>
          <w:sz w:val="28"/>
        </w:rPr>
        <w:t>8</w:t>
      </w:r>
      <w:r w:rsidR="00980770">
        <w:rPr>
          <w:rStyle w:val="FontStyle20"/>
          <w:color w:val="000000"/>
          <w:sz w:val="28"/>
        </w:rPr>
        <w:t>%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Аналогичная тенденция была характерна и для непродовольственного сырья</w:t>
      </w:r>
      <w:r w:rsidR="00F35343"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2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 xml:space="preserve">Недооценка стратегического характера самообеспечения в курсе Пекина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распространенный методический изъян в прогнозировании развития китайской агросферы. Так, </w:t>
      </w:r>
      <w:r w:rsidR="00980770" w:rsidRPr="00980770">
        <w:rPr>
          <w:rStyle w:val="FontStyle20"/>
          <w:color w:val="000000"/>
          <w:sz w:val="28"/>
        </w:rPr>
        <w:t>К.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Андерсон</w:t>
      </w:r>
      <w:r w:rsidRPr="00980770">
        <w:rPr>
          <w:rStyle w:val="FontStyle20"/>
          <w:color w:val="000000"/>
          <w:sz w:val="28"/>
        </w:rPr>
        <w:t>, приведя данные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о странах-соседях Китая, приходит к следующему заключению: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О</w:t>
      </w:r>
      <w:r w:rsidRPr="00980770">
        <w:rPr>
          <w:rStyle w:val="FontStyle20"/>
          <w:color w:val="000000"/>
          <w:sz w:val="28"/>
        </w:rPr>
        <w:t>чевидно, что стандартная неоклассическая теория структурных изменений и изменений в</w:t>
      </w:r>
      <w:r w:rsid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сравнительных преимуществах в растущих хозяйствах подтверждается представленными эмпирическими данными по Азии</w:t>
      </w:r>
      <w:r w:rsidR="00980770">
        <w:rPr>
          <w:rStyle w:val="FontStyle20"/>
          <w:color w:val="000000"/>
          <w:sz w:val="28"/>
        </w:rPr>
        <w:t xml:space="preserve">… </w:t>
      </w:r>
      <w:r w:rsidRPr="00980770">
        <w:rPr>
          <w:rStyle w:val="FontStyle20"/>
          <w:color w:val="000000"/>
          <w:sz w:val="28"/>
        </w:rPr>
        <w:t>Эту теорию подтверждает и сорокалетняя история хозяйства Китая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Посетовав на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олитические искажения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еще мешающие китайскому сельскому хозяйству подтвердить в полной мере универсальность неоклассики и теории сравнительных преимуществ, </w:t>
      </w:r>
      <w:r w:rsidR="00980770" w:rsidRPr="00980770">
        <w:rPr>
          <w:rStyle w:val="FontStyle20"/>
          <w:color w:val="000000"/>
          <w:sz w:val="28"/>
        </w:rPr>
        <w:t>К.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Андерсон</w:t>
      </w:r>
      <w:r w:rsidRPr="00980770">
        <w:rPr>
          <w:rStyle w:val="FontStyle20"/>
          <w:color w:val="000000"/>
          <w:sz w:val="28"/>
        </w:rPr>
        <w:t xml:space="preserve"> переходит к прогнозу: уже к 1995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Китай, в соответствии с его расчетами, должен был бы ежегодно импортировать от 32 до 39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 xml:space="preserve"> пшеницы, 9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1</w:t>
      </w:r>
      <w:r w:rsidRPr="00980770">
        <w:rPr>
          <w:rStyle w:val="FontStyle20"/>
          <w:color w:val="000000"/>
          <w:sz w:val="28"/>
        </w:rPr>
        <w:t xml:space="preserve">2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 xml:space="preserve"> кукурузы, 1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6</w:t>
      </w:r>
      <w:r w:rsidRP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 xml:space="preserve"> сахара, 2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8</w:t>
      </w:r>
      <w:r w:rsidRP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 xml:space="preserve"> молока, до 5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 xml:space="preserve"> мяса и мясопродуктов. Ни прогноз</w:t>
      </w:r>
      <w:r w:rsidR="00F35343" w:rsidRPr="00980770">
        <w:rPr>
          <w:rStyle w:val="FontStyle22"/>
          <w:color w:val="000000"/>
          <w:sz w:val="28"/>
        </w:rPr>
        <w:t>,</w:t>
      </w:r>
      <w:r w:rsidRPr="00980770">
        <w:rPr>
          <w:rStyle w:val="FontStyle22"/>
          <w:color w:val="000000"/>
          <w:sz w:val="28"/>
        </w:rPr>
        <w:t xml:space="preserve"> ни его методика не оправдались, да и не могли оправдаться </w:t>
      </w:r>
      <w:r w:rsidR="00980770">
        <w:rPr>
          <w:rStyle w:val="FontStyle22"/>
          <w:color w:val="000000"/>
          <w:sz w:val="28"/>
        </w:rPr>
        <w:t>–</w:t>
      </w:r>
      <w:r w:rsidR="00980770" w:rsidRPr="00980770">
        <w:rPr>
          <w:rStyle w:val="FontStyle22"/>
          <w:color w:val="000000"/>
          <w:sz w:val="28"/>
        </w:rPr>
        <w:t xml:space="preserve"> </w:t>
      </w:r>
      <w:r w:rsidR="00980770">
        <w:rPr>
          <w:rStyle w:val="FontStyle22"/>
          <w:color w:val="000000"/>
          <w:sz w:val="28"/>
        </w:rPr>
        <w:t>несмотря на то, что к</w:t>
      </w:r>
      <w:r w:rsidRPr="00980770">
        <w:rPr>
          <w:rStyle w:val="FontStyle22"/>
          <w:color w:val="000000"/>
          <w:sz w:val="28"/>
        </w:rPr>
        <w:t xml:space="preserve"> указанному году на импорте страны сказались последствия далеко не самого удачного в истории китайской агросферы предыдущего</w:t>
      </w:r>
      <w:r w:rsidR="00F12932" w:rsidRPr="00980770">
        <w:rPr>
          <w:rStyle w:val="FontStyle22"/>
          <w:color w:val="000000"/>
          <w:sz w:val="28"/>
        </w:rPr>
        <w:t xml:space="preserve"> </w:t>
      </w:r>
      <w:r w:rsidRPr="00980770">
        <w:rPr>
          <w:rStyle w:val="FontStyle22"/>
          <w:color w:val="000000"/>
          <w:sz w:val="28"/>
        </w:rPr>
        <w:t>года</w:t>
      </w:r>
      <w:r w:rsidR="00097F1C" w:rsidRPr="00980770">
        <w:rPr>
          <w:rStyle w:val="FontStyle22"/>
          <w:color w:val="000000"/>
          <w:sz w:val="28"/>
        </w:rPr>
        <w:t>.</w:t>
      </w:r>
    </w:p>
    <w:p w:rsidR="00C863CA" w:rsidRPr="00980770" w:rsidRDefault="00C863CA" w:rsidP="00980770">
      <w:pPr>
        <w:pStyle w:val="Style5"/>
        <w:widowControl/>
        <w:spacing w:line="360" w:lineRule="auto"/>
        <w:ind w:firstLine="709"/>
        <w:jc w:val="both"/>
        <w:rPr>
          <w:rStyle w:val="FontStyle20"/>
          <w:color w:val="000000"/>
          <w:sz w:val="28"/>
        </w:rPr>
      </w:pPr>
      <w:r w:rsidRPr="00980770">
        <w:rPr>
          <w:rStyle w:val="FontStyle22"/>
          <w:color w:val="000000"/>
          <w:sz w:val="28"/>
        </w:rPr>
        <w:t xml:space="preserve">Дело, как мне представляется, заключается не только в </w:t>
      </w:r>
      <w:r w:rsidR="00980770">
        <w:rPr>
          <w:rStyle w:val="FontStyle22"/>
          <w:color w:val="000000"/>
          <w:sz w:val="28"/>
        </w:rPr>
        <w:t>«</w:t>
      </w:r>
      <w:r w:rsidR="00980770" w:rsidRPr="00980770">
        <w:rPr>
          <w:rStyle w:val="FontStyle22"/>
          <w:color w:val="000000"/>
          <w:sz w:val="28"/>
        </w:rPr>
        <w:t>п</w:t>
      </w:r>
      <w:r w:rsidRPr="00980770">
        <w:rPr>
          <w:rStyle w:val="FontStyle22"/>
          <w:color w:val="000000"/>
          <w:sz w:val="28"/>
        </w:rPr>
        <w:t>олитических искажениях</w:t>
      </w:r>
      <w:r w:rsidR="00980770">
        <w:rPr>
          <w:rStyle w:val="FontStyle22"/>
          <w:color w:val="000000"/>
          <w:sz w:val="28"/>
        </w:rPr>
        <w:t>»</w:t>
      </w:r>
      <w:r w:rsidR="00980770" w:rsidRPr="00980770">
        <w:rPr>
          <w:rStyle w:val="FontStyle22"/>
          <w:color w:val="000000"/>
          <w:sz w:val="28"/>
        </w:rPr>
        <w:t>,</w:t>
      </w:r>
      <w:r w:rsidRPr="00980770">
        <w:rPr>
          <w:rStyle w:val="FontStyle22"/>
          <w:color w:val="000000"/>
          <w:sz w:val="28"/>
        </w:rPr>
        <w:t xml:space="preserve"> не только в желании руководства КНР </w:t>
      </w:r>
      <w:r w:rsidR="00980770">
        <w:rPr>
          <w:rStyle w:val="FontStyle22"/>
          <w:color w:val="000000"/>
          <w:sz w:val="28"/>
        </w:rPr>
        <w:t>«</w:t>
      </w:r>
      <w:r w:rsidR="00980770" w:rsidRPr="00980770">
        <w:rPr>
          <w:rStyle w:val="FontStyle22"/>
          <w:color w:val="000000"/>
          <w:sz w:val="28"/>
        </w:rPr>
        <w:t>д</w:t>
      </w:r>
      <w:r w:rsidRPr="00980770">
        <w:rPr>
          <w:rStyle w:val="FontStyle22"/>
          <w:color w:val="000000"/>
          <w:sz w:val="28"/>
        </w:rPr>
        <w:t>оказать всему миру, что страна способна выработать стратегию</w:t>
      </w:r>
      <w:r w:rsidR="00F12932" w:rsidRPr="00980770">
        <w:rPr>
          <w:rStyle w:val="FontStyle22"/>
          <w:color w:val="000000"/>
          <w:sz w:val="28"/>
        </w:rPr>
        <w:t xml:space="preserve"> </w:t>
      </w:r>
      <w:r w:rsidRPr="00980770">
        <w:rPr>
          <w:rStyle w:val="FontStyle22"/>
          <w:color w:val="000000"/>
          <w:sz w:val="28"/>
        </w:rPr>
        <w:t>самодостаточного развития</w:t>
      </w:r>
      <w:r w:rsidR="00980770">
        <w:rPr>
          <w:rStyle w:val="FontStyle22"/>
          <w:color w:val="000000"/>
          <w:sz w:val="28"/>
        </w:rPr>
        <w:t>»</w:t>
      </w:r>
      <w:r w:rsidR="00980770" w:rsidRPr="00980770">
        <w:rPr>
          <w:rStyle w:val="FontStyle22"/>
          <w:color w:val="000000"/>
          <w:sz w:val="28"/>
        </w:rPr>
        <w:t>,</w:t>
      </w:r>
      <w:r w:rsidRPr="00980770">
        <w:rPr>
          <w:rStyle w:val="FontStyle22"/>
          <w:color w:val="000000"/>
          <w:sz w:val="28"/>
        </w:rPr>
        <w:t xml:space="preserve"> и даже не в дефектах аграрной статистики</w:t>
      </w:r>
      <w:r w:rsidR="00F35343" w:rsidRPr="00980770">
        <w:rPr>
          <w:rStyle w:val="FontStyle22"/>
          <w:color w:val="000000"/>
          <w:sz w:val="28"/>
        </w:rPr>
        <w:t>.</w:t>
      </w:r>
      <w:r w:rsidRPr="00980770">
        <w:rPr>
          <w:rStyle w:val="FontStyle22"/>
          <w:color w:val="000000"/>
          <w:sz w:val="28"/>
        </w:rPr>
        <w:t xml:space="preserve"> Неприменимость многих классических схем и математических моделей к оценке китайского хозяйства вытекает</w:t>
      </w:r>
      <w:r w:rsidRPr="00980770">
        <w:rPr>
          <w:rStyle w:val="FontStyle20"/>
          <w:color w:val="000000"/>
          <w:sz w:val="28"/>
        </w:rPr>
        <w:t xml:space="preserve"> уже из его гигантских масштабов. Сама масса этой экономики заставляет руководителей страны в основном ориентироваться на бездефицитную модель, чтобы не оказаться жертвой тех же резких ценовых колебаний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обусловленных ожиданиями и спекуляциями по поводу китайского фактора на мировом рынке. Тем же самым в немалой степени объясняется необходимость накапливать крупные стратегические запасы продовольствия, сырья, валюты </w:t>
      </w:r>
      <w:r w:rsidR="00980770">
        <w:rPr>
          <w:rStyle w:val="FontStyle20"/>
          <w:color w:val="000000"/>
          <w:sz w:val="28"/>
        </w:rPr>
        <w:t>и т.п.</w:t>
      </w:r>
      <w:r w:rsidRPr="00980770">
        <w:rPr>
          <w:rStyle w:val="FontStyle20"/>
          <w:color w:val="000000"/>
          <w:sz w:val="28"/>
        </w:rPr>
        <w:t xml:space="preserve"> Забавно, что некоторые экономисты усматривают в</w:t>
      </w:r>
      <w:r w:rsidR="00F12932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этом признак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с</w:t>
      </w:r>
      <w:r w:rsidRPr="00980770">
        <w:rPr>
          <w:rStyle w:val="FontStyle20"/>
          <w:color w:val="000000"/>
          <w:sz w:val="28"/>
        </w:rPr>
        <w:t>верхдержавное™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Китая</w:t>
      </w:r>
      <w:r w:rsidR="00097F1C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Эти же авторы, впав в отличие от </w:t>
      </w:r>
      <w:r w:rsidR="00980770" w:rsidRPr="00980770">
        <w:rPr>
          <w:rStyle w:val="FontStyle20"/>
          <w:color w:val="000000"/>
          <w:sz w:val="28"/>
        </w:rPr>
        <w:t>Л.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Брауна</w:t>
      </w:r>
      <w:r w:rsidRPr="00980770">
        <w:rPr>
          <w:rStyle w:val="FontStyle20"/>
          <w:color w:val="000000"/>
          <w:sz w:val="28"/>
        </w:rPr>
        <w:t xml:space="preserve"> в другую крайность при прогнозировании, предсказали к 2015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превосходство аграрного продукта Китая над американским в 21 раз.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Впрочем, немногим лучше оказались прогнозы ФАО, сделанные в середине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годов. Эксперты этой международной организации предполагали, в частности, повышение мировых цен на</w:t>
      </w:r>
      <w:r w:rsidR="00F12932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зерно в 1996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2</w:t>
      </w:r>
      <w:r w:rsidRPr="00980770">
        <w:rPr>
          <w:rStyle w:val="FontStyle20"/>
          <w:color w:val="000000"/>
          <w:sz w:val="28"/>
        </w:rPr>
        <w:t>000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гг</w:t>
      </w:r>
      <w:r w:rsidRPr="00980770">
        <w:rPr>
          <w:rStyle w:val="FontStyle20"/>
          <w:color w:val="000000"/>
          <w:sz w:val="28"/>
        </w:rPr>
        <w:t>. на 7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8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ежегодно</w:t>
      </w:r>
      <w:r w:rsidR="00097F1C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В действительности, к концу десятилетия по сравнению с его серединой цены зерновых упали практически вдвое, в том числе из-за китайского фактора </w:t>
      </w:r>
      <w:r w:rsidR="00980770">
        <w:rPr>
          <w:rStyle w:val="FontStyle20"/>
          <w:color w:val="000000"/>
          <w:sz w:val="28"/>
        </w:rPr>
        <w:t xml:space="preserve">– 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ереоценки в прогнозах возможных масштабов импорта зерна этой страной.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Необходимо заметить, что, неизменно подчеркивая важность этапа замещения импорта в стратегиях соседних стран и территорий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китайские авторы еще в 80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обращали особое внимание на то, что в обоих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м</w:t>
      </w:r>
      <w:r w:rsidRPr="00980770">
        <w:rPr>
          <w:rStyle w:val="FontStyle20"/>
          <w:color w:val="000000"/>
          <w:sz w:val="28"/>
        </w:rPr>
        <w:t>аленьких драконах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в 50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предпринимались значительные усилия по самообеспечению продовольствием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более успешные, кстати, на Тайване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в том числе по причине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р</w:t>
      </w:r>
      <w:r w:rsidRPr="00980770">
        <w:rPr>
          <w:rStyle w:val="FontStyle20"/>
          <w:color w:val="000000"/>
          <w:sz w:val="28"/>
        </w:rPr>
        <w:t>азорительного для корейских</w:t>
      </w:r>
      <w:r w:rsidR="008F50ED" w:rsidRPr="00980770">
        <w:rPr>
          <w:rStyle w:val="FontStyle20"/>
          <w:color w:val="000000"/>
          <w:sz w:val="28"/>
        </w:rPr>
        <w:t xml:space="preserve"> крестьян ввоза американского зерна.</w:t>
      </w:r>
    </w:p>
    <w:p w:rsidR="00C863CA" w:rsidRPr="00980770" w:rsidRDefault="00C863CA" w:rsidP="00980770">
      <w:pPr>
        <w:pStyle w:val="Style4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Похожая на продовольственную ситуация сложилась на рынке таких товаров, как сталь и прокат. Еще сравнительно недавно, в 1993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., за рубежами КНР прогнозировалось крупное увеличение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до 40</w:t>
      </w:r>
      <w:r w:rsidR="008F50ED" w:rsidRP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 xml:space="preserve"> в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импорта этой продукции</w:t>
      </w:r>
      <w:r w:rsidR="00097F1C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Действительность в очередной раз существенно разошлась с этими ожиданиями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Кроме того, представленные в таблицах данные не учитывают экспорта из Китая чугунных отливок, а также стальных слитков и поковок</w:t>
      </w:r>
      <w:r w:rsidR="00F35343"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4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Аналогичным образом сложилась ситуация с хлопком. В 1999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в КНР принято решение организовать национальную хлопковую биржу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в том числе для либерализации торговли этим сырьем, снижения цен и сокращения субсидируемых государством закупок. Из-за перепроизводства накоплены крупные запасы волокна. Поэтому сбор хлопка сокращается: в 1997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он составил 4,4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>, в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4,1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>. Характерно, что ожидания по поводу резкого увеличения экспорта хлопка Китаем послужили, по мнению биржевиков, одним из факторов значительного снижения мировых</w:t>
      </w:r>
      <w:r w:rsidR="008F50ED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цен на этот товар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до 50 центов за фунт в 1999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Заметную роль на мировых рынках играет также политика КНР по свертыванию закупок растительного масла</w:t>
      </w:r>
      <w:r w:rsidR="008F50ED" w:rsidRPr="00980770">
        <w:rPr>
          <w:rStyle w:val="FontStyle20"/>
          <w:color w:val="000000"/>
          <w:sz w:val="28"/>
        </w:rPr>
        <w:t xml:space="preserve"> и увеличению ввоза маслосемян соевых бобов и рапса.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Похожая ситуация с содой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и др. Медь и алюминий Китаем не только ввозятся, но и вывозятся, к крупным экспортным позициям относится цинк и цинковые сплавы, редкоземельные металлы </w:t>
      </w:r>
      <w:r w:rsidR="00980770">
        <w:rPr>
          <w:rStyle w:val="FontStyle20"/>
          <w:color w:val="000000"/>
          <w:sz w:val="28"/>
        </w:rPr>
        <w:t>и т.д.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Во внешней торговле первичными источниками энергии в первой половине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 положение сложилось неоднозначное </w:t>
      </w:r>
      <w:r w:rsidR="00980770">
        <w:rPr>
          <w:rStyle w:val="FontStyle20"/>
          <w:color w:val="000000"/>
          <w:sz w:val="28"/>
        </w:rPr>
        <w:t xml:space="preserve">– </w:t>
      </w:r>
      <w:r w:rsidR="00980770" w:rsidRPr="00980770">
        <w:rPr>
          <w:rStyle w:val="FontStyle20"/>
          <w:color w:val="000000"/>
          <w:sz w:val="28"/>
        </w:rPr>
        <w:t>в</w:t>
      </w:r>
      <w:r w:rsidRPr="00980770">
        <w:rPr>
          <w:rStyle w:val="FontStyle20"/>
          <w:color w:val="000000"/>
          <w:sz w:val="28"/>
        </w:rPr>
        <w:t>опреки широко распространившимся представлениям о перманентном и усиливающемся дефиците энергоресурсов в стране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В середине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 импорт энергоресурсов в КНР, впрочем, расширился. В 1997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страна ввезла около 60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 xml:space="preserve"> нефти и нефтепродуктов стоимостью свыше 9 </w:t>
      </w:r>
      <w:r w:rsidR="00980770" w:rsidRPr="00980770">
        <w:rPr>
          <w:rStyle w:val="FontStyle20"/>
          <w:color w:val="000000"/>
          <w:sz w:val="28"/>
        </w:rPr>
        <w:t>млрд.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долл</w:t>
      </w:r>
      <w:r w:rsidRPr="00980770">
        <w:rPr>
          <w:rStyle w:val="FontStyle20"/>
          <w:color w:val="000000"/>
          <w:sz w:val="28"/>
        </w:rPr>
        <w:t xml:space="preserve">. В то же время китайский экспорт энергоресурсов также представлял значительную величину: 25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 xml:space="preserve"> нефти и нефтепродуктов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41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т</w:t>
      </w:r>
      <w:r w:rsidRPr="00980770">
        <w:rPr>
          <w:rStyle w:val="FontStyle20"/>
          <w:color w:val="000000"/>
          <w:sz w:val="28"/>
        </w:rPr>
        <w:t xml:space="preserve"> угля и кокса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Суммарное отрицательное сальдо в торговле первичными энергоресурсами, однако, резко сократилось в следующем,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., когда из-за падения мировых цен и сокращения объема ввоза доля минерального топлива и технических масел в импорте Китая снизилась с 7,</w:t>
      </w:r>
      <w:r w:rsidR="00980770" w:rsidRPr="00980770">
        <w:rPr>
          <w:rStyle w:val="FontStyle20"/>
          <w:color w:val="000000"/>
          <w:sz w:val="28"/>
        </w:rPr>
        <w:t>3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до 4,</w:t>
      </w:r>
      <w:r w:rsidR="00980770" w:rsidRPr="00980770">
        <w:rPr>
          <w:rStyle w:val="FontStyle20"/>
          <w:color w:val="000000"/>
          <w:sz w:val="28"/>
        </w:rPr>
        <w:t>8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, а в экспорте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 3,</w:t>
      </w:r>
      <w:r w:rsidR="00980770" w:rsidRPr="00980770">
        <w:rPr>
          <w:rStyle w:val="FontStyle20"/>
          <w:color w:val="000000"/>
          <w:sz w:val="28"/>
        </w:rPr>
        <w:t>8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до 2,</w:t>
      </w:r>
      <w:r w:rsidR="00980770" w:rsidRPr="00980770">
        <w:rPr>
          <w:rStyle w:val="FontStyle20"/>
          <w:color w:val="000000"/>
          <w:sz w:val="28"/>
        </w:rPr>
        <w:t>8</w:t>
      </w:r>
      <w:r w:rsidR="00980770">
        <w:rPr>
          <w:rStyle w:val="FontStyle20"/>
          <w:color w:val="000000"/>
          <w:sz w:val="28"/>
        </w:rPr>
        <w:t>%</w:t>
      </w:r>
      <w:r w:rsidR="00F35343" w:rsidRPr="00980770">
        <w:rPr>
          <w:rStyle w:val="FontStyle20"/>
          <w:color w:val="000000"/>
          <w:sz w:val="28"/>
        </w:rPr>
        <w:t>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Учитывая перечисленные факты и тенденции, небезосновательным кажется следующее предположение: Китай в краткосрочном плане может представлять проблему для мирового рынка не со стороны спроса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а со стороны предложения, тем более, что с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внутри страны впервые в ее послевоенной истории наблюдаются тотальное перепроизводство и падение цен. Однако и здесь КНР, как было показано выше, сталкивается с проблемой непредвиденных ценовых реакций мирового рынка, связанных с масштабом китайского фактора. Колебания цен и весьма резкие колебания международной товарной конъюнктуры в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заставляли руководство страны проявлять осмотрительность, пытаться максимально точно планировать производство и сбыт массовых товаров, в том числе на внешних рынках, рассматривать при развитии отношении с теми или иными странами возможность натуральных обменов на долгосрочной основе </w:t>
      </w:r>
      <w:r w:rsidR="00980770">
        <w:rPr>
          <w:rStyle w:val="FontStyle20"/>
          <w:color w:val="000000"/>
          <w:sz w:val="28"/>
        </w:rPr>
        <w:t>и т.п.</w:t>
      </w:r>
      <w:r w:rsidRPr="00980770">
        <w:rPr>
          <w:rStyle w:val="FontStyle20"/>
          <w:color w:val="000000"/>
          <w:sz w:val="28"/>
        </w:rPr>
        <w:t xml:space="preserve"> Ведь при современной прозрачности спроса и предложения на массовые товары, а также высокой степени монополизации многих внешних рынков КНР не приходится рассчитывать на выигрыши при крупных рыночных обменах за пределами собственного хозяйства, как и крестьянину в старом Китае. Скорее, это грозит убытками. Соответственно, самообеспечение и четкое планирование внутреннего производства выглядят еще привлекательнее.</w:t>
      </w:r>
    </w:p>
    <w:p w:rsidR="00C863CA" w:rsidRPr="00980770" w:rsidRDefault="00C863CA" w:rsidP="00F87DF7">
      <w:pPr>
        <w:pStyle w:val="Style10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 силу перечисленных выше обстоятельств хозяйство страны и стратегия его развития оказываются вне сферы действия некоторых статистически подтвержденных тенденций, действующих на мировом рынке в отношении малых и средних стран. На КНР, к примеру, явно не распространяется замеченная специалистами закономерность снижения самообеспечения продовольствием в большинстве стран вследствие усиления аграрного протекционизма в развитых государствах. К тому же субсидируемый этими государствами аграрный экспорт представляет для КНР серьезную долгосрочную угрозу, не позволяя выпускать ситуацию из-под жесткого административного контроля. С другой стороны, Китай в силу структурных особенностей своего хозяйства, общего уровня благосостояния, а также относительно невысокой включенности в мировую экономику просто не может позволить себе масштабов субсидирования сельского хозяйства, сопоставимых с развитыми и некоторыми соседними странами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Пока директивной</w:t>
      </w:r>
      <w:r w:rsidR="00F87DF7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остается установка на 95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роцентное самообеспечение зерном. Не думаю, что в ближайшие годы этой сфере экономической политики что-нибудь может серьезно измениться.</w:t>
      </w:r>
    </w:p>
    <w:p w:rsidR="00C863CA" w:rsidRPr="00980770" w:rsidRDefault="00C863CA" w:rsidP="00980770">
      <w:pPr>
        <w:pStyle w:val="Style10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Повторю: принцип самообеспечения пронизывает всю систему хозяйства Китая, во второй половине 80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начале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 он в отдельных регионах фактически воспроизводился на провинциальном и уездном уровне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охватывает он и армию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в которой до сих пор часть личного состава занимается сельским хозяйством, обеспечивая по различным позициям до 30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70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потребления. Чисто экспортная специализация даже в районах, расположенных наиболее благоприятно для ведения внешней торговли, как правило, не превышает 30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50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товарной продукции на уровне уездов и 10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25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</w:t>
      </w:r>
      <w:r w:rsidR="00980770">
        <w:rPr>
          <w:rStyle w:val="FontStyle20"/>
          <w:color w:val="000000"/>
          <w:sz w:val="28"/>
        </w:rPr>
        <w:t xml:space="preserve">– </w:t>
      </w:r>
      <w:r w:rsidR="00980770" w:rsidRPr="00980770">
        <w:rPr>
          <w:rStyle w:val="FontStyle20"/>
          <w:color w:val="000000"/>
          <w:sz w:val="28"/>
        </w:rPr>
        <w:t>н</w:t>
      </w:r>
      <w:r w:rsidRPr="00980770">
        <w:rPr>
          <w:rStyle w:val="FontStyle20"/>
          <w:color w:val="000000"/>
          <w:sz w:val="28"/>
        </w:rPr>
        <w:t>а провинциальном уровне. Только применительно к этой части китайского хозяйства, которая охватывает примерно 30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>4</w:t>
      </w:r>
      <w:r w:rsidRPr="00980770">
        <w:rPr>
          <w:rStyle w:val="FontStyle20"/>
          <w:color w:val="000000"/>
          <w:sz w:val="28"/>
        </w:rPr>
        <w:t>0 млн. человек, можно говорить об интернационализации хозяйства, сопоставимой со средним мировым уровнем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Однако и здесь указанный процесс имеет выраженную географическую ограниченность, региональную привязку. Наиболее тесные кооперационные связи исчерпываются, как правило, партнерами в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Б</w:t>
      </w:r>
      <w:r w:rsidRPr="00980770">
        <w:rPr>
          <w:rStyle w:val="FontStyle20"/>
          <w:color w:val="000000"/>
          <w:sz w:val="28"/>
        </w:rPr>
        <w:t>ольшом Китае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в основном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в Сянгане.</w:t>
      </w:r>
    </w:p>
    <w:p w:rsidR="00C863CA" w:rsidRPr="00980770" w:rsidRDefault="00C863CA" w:rsidP="00F87DF7">
      <w:pPr>
        <w:pStyle w:val="Style10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 xml:space="preserve">Очень существенное значение имеет и крайне низкий уровень непосредственной включенности агросферы КНР в международное разделение труда на принципах производственной и торговой интеграции с зарубежным капиталом. Можно сказать, что для Китая не характерна в сколько-нибудь значительных масштабах тенденция превращения в часть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ф</w:t>
      </w:r>
      <w:r w:rsidRPr="00980770">
        <w:rPr>
          <w:rStyle w:val="FontStyle20"/>
          <w:color w:val="000000"/>
          <w:sz w:val="28"/>
        </w:rPr>
        <w:t>ормирующегося мирового супермаркета, где покупатели разных стран берут продовольствие с одного прилавка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То же касается средств производства для сельского хозяйства: для Китая как их потребителя, опять-таки, не типична ситуация, когда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ередаточное устройство, произведенное во Франции, английский двигатель и мексиканский коленчатый вал соединяются стальной плитой из США и созданный таким образом в</w:t>
      </w:r>
      <w:r w:rsidR="008F50ED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Бразилии трактор продается где-то в Юго-Восточной Азии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И даже популярный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М</w:t>
      </w:r>
      <w:r w:rsidRPr="00980770">
        <w:rPr>
          <w:rStyle w:val="FontStyle20"/>
          <w:color w:val="000000"/>
          <w:sz w:val="28"/>
        </w:rPr>
        <w:t>ак-Дональдс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из 60 тысяч расположенных в Азии точек общепита располагал в КНР в 1999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>. лишь двумя сотнями заведений. В то же время Китай в последние двадцать лет опережал в развитии агросферы практически все азиатские страны, в том числе преуспевшие в использовании внешних факторов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и вплотную приблизился к решению продовольственной проблемы. Сравнительно высоким уровнем отличается урожайность зерновых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впрочем, в этой области есть еще и скрытые</w:t>
      </w:r>
      <w:r w:rsidR="00F87DF7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резервы. Достаточно убедительно выглядят и показатели сельского хозяйства в последние два года</w:t>
      </w:r>
      <w:r w:rsidR="00F35343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Они, помимо прочего, иллюстрируют отсутствие прямой связи между производством</w:t>
      </w:r>
      <w:r w:rsidR="00F87DF7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зерновых и внешней торговлей ими. Налицо, таким образом, еще один признак отсутствия сильного напряжения в обеспечении продовольствием из внутренних источников самой населенной страны мира.</w:t>
      </w:r>
    </w:p>
    <w:p w:rsidR="00C863CA" w:rsidRDefault="00C863CA" w:rsidP="00980770">
      <w:pPr>
        <w:pStyle w:val="Style13"/>
        <w:widowControl/>
        <w:spacing w:line="360" w:lineRule="auto"/>
        <w:ind w:firstLine="709"/>
        <w:rPr>
          <w:rStyle w:val="FontStyle22"/>
          <w:color w:val="000000"/>
          <w:sz w:val="28"/>
        </w:rPr>
      </w:pPr>
      <w:r w:rsidRPr="00F87DF7">
        <w:rPr>
          <w:rStyle w:val="FontStyle23"/>
          <w:i w:val="0"/>
          <w:color w:val="000000"/>
          <w:sz w:val="28"/>
        </w:rPr>
        <w:t>Урожайность</w:t>
      </w:r>
      <w:r w:rsidR="00F35343" w:rsidRPr="00F87DF7">
        <w:rPr>
          <w:rStyle w:val="FontStyle23"/>
          <w:i w:val="0"/>
          <w:color w:val="000000"/>
          <w:sz w:val="28"/>
        </w:rPr>
        <w:t xml:space="preserve"> </w:t>
      </w:r>
      <w:r w:rsidRPr="00F87DF7">
        <w:rPr>
          <w:rStyle w:val="FontStyle23"/>
          <w:i w:val="0"/>
          <w:color w:val="000000"/>
          <w:sz w:val="28"/>
        </w:rPr>
        <w:t>основных продовольственных культ</w:t>
      </w:r>
      <w:r w:rsidRPr="00980770">
        <w:rPr>
          <w:rStyle w:val="FontStyle23"/>
          <w:color w:val="000000"/>
          <w:sz w:val="28"/>
        </w:rPr>
        <w:t>ур</w:t>
      </w:r>
      <w:r w:rsidR="00F35343" w:rsidRPr="00980770">
        <w:rPr>
          <w:rStyle w:val="FontStyle23"/>
          <w:color w:val="000000"/>
          <w:sz w:val="28"/>
        </w:rPr>
        <w:t xml:space="preserve"> </w:t>
      </w:r>
      <w:r w:rsidRPr="00980770">
        <w:rPr>
          <w:rStyle w:val="FontStyle22"/>
          <w:color w:val="000000"/>
          <w:sz w:val="28"/>
        </w:rPr>
        <w:t>41</w:t>
      </w:r>
      <w:r w:rsidR="00F87DF7">
        <w:rPr>
          <w:rStyle w:val="FontStyle22"/>
          <w:color w:val="000000"/>
          <w:sz w:val="28"/>
        </w:rPr>
        <w:t xml:space="preserve"> </w:t>
      </w:r>
      <w:r w:rsidRPr="00980770">
        <w:rPr>
          <w:rStyle w:val="FontStyle22"/>
          <w:color w:val="000000"/>
          <w:sz w:val="28"/>
        </w:rPr>
        <w:t>ц/га, кукурузы 50</w:t>
      </w:r>
      <w:r w:rsidR="00980770">
        <w:rPr>
          <w:rStyle w:val="FontStyle22"/>
          <w:color w:val="000000"/>
          <w:sz w:val="28"/>
        </w:rPr>
        <w:t>–</w:t>
      </w:r>
      <w:r w:rsidR="00980770" w:rsidRPr="00980770">
        <w:rPr>
          <w:rStyle w:val="FontStyle22"/>
          <w:color w:val="000000"/>
          <w:sz w:val="28"/>
        </w:rPr>
        <w:t>5</w:t>
      </w:r>
      <w:r w:rsidRPr="00980770">
        <w:rPr>
          <w:rStyle w:val="FontStyle22"/>
          <w:color w:val="000000"/>
          <w:sz w:val="28"/>
        </w:rPr>
        <w:t>2 ц/га</w:t>
      </w:r>
      <w:r w:rsidR="00097F1C" w:rsidRPr="00980770">
        <w:rPr>
          <w:rStyle w:val="FontStyle22"/>
          <w:color w:val="000000"/>
          <w:sz w:val="28"/>
        </w:rPr>
        <w:t>.</w:t>
      </w:r>
      <w:r w:rsidRPr="00980770">
        <w:rPr>
          <w:rStyle w:val="FontStyle22"/>
          <w:color w:val="000000"/>
          <w:sz w:val="28"/>
        </w:rPr>
        <w:t xml:space="preserve"> К этому можно добавить, что урожайность хлопка в Китае</w:t>
      </w:r>
      <w:r w:rsidR="00F35343" w:rsidRPr="00980770">
        <w:rPr>
          <w:rStyle w:val="FontStyle22"/>
          <w:color w:val="000000"/>
          <w:sz w:val="28"/>
        </w:rPr>
        <w:t xml:space="preserve"> </w:t>
      </w:r>
      <w:r w:rsidRPr="00980770">
        <w:rPr>
          <w:rStyle w:val="FontStyle22"/>
          <w:color w:val="000000"/>
          <w:sz w:val="28"/>
        </w:rPr>
        <w:t>более чем втрое выше индийского показателя. Для сравнения можно привести и данные об осеннем урожае риса на плодородной равнине Чэнду</w:t>
      </w:r>
      <w:r w:rsidR="00F35343" w:rsidRPr="00980770">
        <w:rPr>
          <w:rStyle w:val="FontStyle22"/>
          <w:color w:val="000000"/>
          <w:sz w:val="28"/>
        </w:rPr>
        <w:t xml:space="preserve"> </w:t>
      </w:r>
      <w:r w:rsidRPr="00980770">
        <w:rPr>
          <w:rStyle w:val="FontStyle22"/>
          <w:color w:val="000000"/>
          <w:sz w:val="28"/>
        </w:rPr>
        <w:t>в 1941</w:t>
      </w:r>
      <w:r w:rsidR="00980770">
        <w:rPr>
          <w:rStyle w:val="FontStyle22"/>
          <w:color w:val="000000"/>
          <w:sz w:val="28"/>
        </w:rPr>
        <w:t> </w:t>
      </w:r>
      <w:r w:rsidR="00980770" w:rsidRPr="00980770">
        <w:rPr>
          <w:rStyle w:val="FontStyle22"/>
          <w:color w:val="000000"/>
          <w:sz w:val="28"/>
        </w:rPr>
        <w:t>г</w:t>
      </w:r>
      <w:r w:rsidRPr="00980770">
        <w:rPr>
          <w:rStyle w:val="FontStyle22"/>
          <w:color w:val="000000"/>
          <w:sz w:val="28"/>
        </w:rPr>
        <w:t>.</w:t>
      </w:r>
      <w:r w:rsidR="00F35343" w:rsidRPr="00980770">
        <w:rPr>
          <w:rStyle w:val="FontStyle22"/>
          <w:color w:val="000000"/>
          <w:sz w:val="28"/>
        </w:rPr>
        <w:t xml:space="preserve"> </w:t>
      </w:r>
      <w:r w:rsidR="00980770">
        <w:rPr>
          <w:rStyle w:val="FontStyle22"/>
          <w:color w:val="000000"/>
          <w:sz w:val="28"/>
        </w:rPr>
        <w:t>–</w:t>
      </w:r>
      <w:r w:rsidR="00980770" w:rsidRPr="00980770">
        <w:rPr>
          <w:rStyle w:val="FontStyle22"/>
          <w:color w:val="000000"/>
          <w:sz w:val="28"/>
        </w:rPr>
        <w:t xml:space="preserve"> </w:t>
      </w:r>
      <w:r w:rsidRPr="00980770">
        <w:rPr>
          <w:rStyle w:val="FontStyle22"/>
          <w:color w:val="000000"/>
          <w:sz w:val="28"/>
        </w:rPr>
        <w:t xml:space="preserve">11,5 ц/га. Тогда население Китая составляло около 450 </w:t>
      </w:r>
      <w:r w:rsidR="00980770" w:rsidRPr="00980770">
        <w:rPr>
          <w:rStyle w:val="FontStyle22"/>
          <w:color w:val="000000"/>
          <w:sz w:val="28"/>
        </w:rPr>
        <w:t>млн.</w:t>
      </w:r>
      <w:r w:rsidR="00980770">
        <w:rPr>
          <w:rStyle w:val="FontStyle22"/>
          <w:color w:val="000000"/>
          <w:sz w:val="28"/>
        </w:rPr>
        <w:t xml:space="preserve"> </w:t>
      </w:r>
      <w:r w:rsidR="00980770" w:rsidRPr="00980770">
        <w:rPr>
          <w:rStyle w:val="FontStyle22"/>
          <w:color w:val="000000"/>
          <w:sz w:val="28"/>
        </w:rPr>
        <w:t>ч</w:t>
      </w:r>
      <w:r w:rsidRPr="00980770">
        <w:rPr>
          <w:rStyle w:val="FontStyle22"/>
          <w:color w:val="000000"/>
          <w:sz w:val="28"/>
        </w:rPr>
        <w:t>еловек.</w:t>
      </w:r>
    </w:p>
    <w:p w:rsidR="00F87DF7" w:rsidRPr="00980770" w:rsidRDefault="00F87DF7" w:rsidP="00980770">
      <w:pPr>
        <w:pStyle w:val="Style13"/>
        <w:widowControl/>
        <w:spacing w:line="360" w:lineRule="auto"/>
        <w:ind w:firstLine="709"/>
        <w:rPr>
          <w:rStyle w:val="FontStyle22"/>
          <w:color w:val="000000"/>
          <w:sz w:val="28"/>
        </w:rPr>
      </w:pPr>
    </w:p>
    <w:p w:rsidR="00C863CA" w:rsidRPr="00F87DF7" w:rsidRDefault="00C863CA" w:rsidP="00980770">
      <w:pPr>
        <w:pStyle w:val="Style13"/>
        <w:widowControl/>
        <w:spacing w:line="360" w:lineRule="auto"/>
        <w:ind w:firstLine="709"/>
        <w:rPr>
          <w:rStyle w:val="FontStyle23"/>
          <w:i w:val="0"/>
          <w:color w:val="000000"/>
          <w:sz w:val="28"/>
        </w:rPr>
      </w:pPr>
      <w:r w:rsidRPr="00F87DF7">
        <w:rPr>
          <w:rStyle w:val="FontStyle23"/>
          <w:i w:val="0"/>
          <w:color w:val="000000"/>
          <w:sz w:val="28"/>
        </w:rPr>
        <w:t>Урожай и внешняя торговля КНР пшеницей и кукурузой</w:t>
      </w:r>
    </w:p>
    <w:tbl>
      <w:tblPr>
        <w:tblW w:w="9018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19"/>
        <w:gridCol w:w="3097"/>
        <w:gridCol w:w="3102"/>
      </w:tblGrid>
      <w:tr w:rsidR="00C863CA" w:rsidRPr="005B42E8" w:rsidTr="005B42E8">
        <w:trPr>
          <w:cantSplit/>
        </w:trPr>
        <w:tc>
          <w:tcPr>
            <w:tcW w:w="156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Показатели\Годы</w:t>
            </w:r>
          </w:p>
        </w:tc>
        <w:tc>
          <w:tcPr>
            <w:tcW w:w="1717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1996/1997</w:t>
            </w:r>
          </w:p>
        </w:tc>
        <w:tc>
          <w:tcPr>
            <w:tcW w:w="1720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1997/1998</w:t>
            </w:r>
          </w:p>
        </w:tc>
      </w:tr>
      <w:tr w:rsidR="00C863CA" w:rsidRPr="005B42E8" w:rsidTr="005B42E8">
        <w:trPr>
          <w:cantSplit/>
        </w:trPr>
        <w:tc>
          <w:tcPr>
            <w:tcW w:w="156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Пшеница Урожай</w:t>
            </w:r>
          </w:p>
        </w:tc>
        <w:tc>
          <w:tcPr>
            <w:tcW w:w="1717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110,6</w:t>
            </w:r>
          </w:p>
        </w:tc>
        <w:tc>
          <w:tcPr>
            <w:tcW w:w="1720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123,3</w:t>
            </w:r>
          </w:p>
        </w:tc>
      </w:tr>
      <w:tr w:rsidR="00C863CA" w:rsidRPr="005B42E8" w:rsidTr="005B42E8">
        <w:trPr>
          <w:cantSplit/>
        </w:trPr>
        <w:tc>
          <w:tcPr>
            <w:tcW w:w="156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Импорт</w:t>
            </w:r>
          </w:p>
        </w:tc>
        <w:tc>
          <w:tcPr>
            <w:tcW w:w="1717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2,7</w:t>
            </w:r>
          </w:p>
        </w:tc>
        <w:tc>
          <w:tcPr>
            <w:tcW w:w="1720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1,9</w:t>
            </w:r>
          </w:p>
        </w:tc>
      </w:tr>
      <w:tr w:rsidR="00C863CA" w:rsidRPr="005B42E8" w:rsidTr="005B42E8">
        <w:trPr>
          <w:cantSplit/>
        </w:trPr>
        <w:tc>
          <w:tcPr>
            <w:tcW w:w="156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Кукуруза Урожай</w:t>
            </w:r>
          </w:p>
        </w:tc>
        <w:tc>
          <w:tcPr>
            <w:tcW w:w="1717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127,5</w:t>
            </w:r>
          </w:p>
        </w:tc>
        <w:tc>
          <w:tcPr>
            <w:tcW w:w="1720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104,3</w:t>
            </w:r>
          </w:p>
        </w:tc>
      </w:tr>
      <w:tr w:rsidR="00C863CA" w:rsidRPr="005B42E8" w:rsidTr="005B42E8">
        <w:trPr>
          <w:cantSplit/>
        </w:trPr>
        <w:tc>
          <w:tcPr>
            <w:tcW w:w="156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Экспорт</w:t>
            </w:r>
          </w:p>
        </w:tc>
        <w:tc>
          <w:tcPr>
            <w:tcW w:w="1717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3,9</w:t>
            </w:r>
          </w:p>
        </w:tc>
        <w:tc>
          <w:tcPr>
            <w:tcW w:w="1720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6,2</w:t>
            </w:r>
          </w:p>
        </w:tc>
      </w:tr>
      <w:tr w:rsidR="00C863CA" w:rsidRPr="005B42E8" w:rsidTr="005B42E8">
        <w:trPr>
          <w:cantSplit/>
        </w:trPr>
        <w:tc>
          <w:tcPr>
            <w:tcW w:w="156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Импорт</w:t>
            </w:r>
          </w:p>
        </w:tc>
        <w:tc>
          <w:tcPr>
            <w:tcW w:w="1717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ОД</w:t>
            </w:r>
          </w:p>
        </w:tc>
        <w:tc>
          <w:tcPr>
            <w:tcW w:w="1720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0,3</w:t>
            </w:r>
          </w:p>
        </w:tc>
      </w:tr>
    </w:tbl>
    <w:p w:rsidR="00C863CA" w:rsidRPr="00980770" w:rsidRDefault="00C863CA" w:rsidP="00980770">
      <w:pPr>
        <w:pStyle w:val="Style4"/>
        <w:widowControl/>
        <w:spacing w:line="360" w:lineRule="auto"/>
        <w:ind w:firstLine="709"/>
        <w:rPr>
          <w:color w:val="000000"/>
          <w:sz w:val="28"/>
          <w:szCs w:val="20"/>
        </w:rPr>
      </w:pPr>
    </w:p>
    <w:p w:rsidR="00F87DF7" w:rsidRPr="00980770" w:rsidRDefault="00C863CA" w:rsidP="00F87DF7">
      <w:pPr>
        <w:pStyle w:val="Style4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Китая постигла жестокая засуха, а в 1998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 в результате небывалого наводнения было затоплено 23 </w:t>
      </w:r>
      <w:r w:rsidR="00980770" w:rsidRPr="00980770">
        <w:rPr>
          <w:rStyle w:val="FontStyle20"/>
          <w:color w:val="000000"/>
          <w:sz w:val="28"/>
        </w:rPr>
        <w:t>млн.</w:t>
      </w:r>
      <w:r w:rsidR="00980770">
        <w:rPr>
          <w:rStyle w:val="FontStyle20"/>
          <w:color w:val="000000"/>
          <w:sz w:val="28"/>
        </w:rPr>
        <w:t xml:space="preserve"> 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а земли в центральных провинциях. С учетом этого обстоятельства, по-видимому, следует признать очень высокой устойчивость всего агропромышленного комплекса страны и достаточно низкой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его зависимость от внешних</w:t>
      </w:r>
      <w:r w:rsidR="00F87DF7" w:rsidRPr="00F87DF7">
        <w:rPr>
          <w:rStyle w:val="FontStyle20"/>
          <w:color w:val="000000"/>
          <w:sz w:val="28"/>
        </w:rPr>
        <w:t xml:space="preserve"> </w:t>
      </w:r>
      <w:r w:rsidR="00F87DF7" w:rsidRPr="00980770">
        <w:rPr>
          <w:rStyle w:val="FontStyle20"/>
          <w:color w:val="000000"/>
          <w:sz w:val="28"/>
        </w:rPr>
        <w:t>факторов. Справедлив, по-видимому, и вывод о постепенной стабилизации показателей развития агросферы.</w:t>
      </w:r>
    </w:p>
    <w:p w:rsidR="00C863CA" w:rsidRPr="00980770" w:rsidRDefault="00C863CA" w:rsidP="00980770">
      <w:pPr>
        <w:pStyle w:val="Style12"/>
        <w:widowControl/>
        <w:spacing w:line="360" w:lineRule="auto"/>
        <w:ind w:firstLine="709"/>
        <w:rPr>
          <w:color w:val="000000"/>
          <w:sz w:val="28"/>
          <w:szCs w:val="20"/>
        </w:rPr>
      </w:pPr>
    </w:p>
    <w:p w:rsidR="00C863CA" w:rsidRPr="00F87DF7" w:rsidRDefault="00C863CA" w:rsidP="00980770">
      <w:pPr>
        <w:pStyle w:val="Style13"/>
        <w:widowControl/>
        <w:spacing w:line="360" w:lineRule="auto"/>
        <w:ind w:firstLine="709"/>
        <w:rPr>
          <w:rStyle w:val="FontStyle23"/>
          <w:i w:val="0"/>
          <w:color w:val="000000"/>
          <w:sz w:val="28"/>
        </w:rPr>
      </w:pPr>
      <w:r w:rsidRPr="00F87DF7">
        <w:rPr>
          <w:rStyle w:val="FontStyle23"/>
          <w:i w:val="0"/>
          <w:color w:val="000000"/>
          <w:sz w:val="28"/>
        </w:rPr>
        <w:t>Производство основных сельскохозяйственных продуктов в КНР</w:t>
      </w:r>
    </w:p>
    <w:tbl>
      <w:tblPr>
        <w:tblW w:w="8904" w:type="dxa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30"/>
        <w:gridCol w:w="1540"/>
        <w:gridCol w:w="2534"/>
      </w:tblGrid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Продукты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980770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млн. т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в</w:t>
            </w:r>
            <w:r w:rsidR="00097F1C" w:rsidRPr="005B42E8">
              <w:rPr>
                <w:rStyle w:val="FontStyle22"/>
                <w:color w:val="000000"/>
                <w:sz w:val="20"/>
              </w:rPr>
              <w:t>%</w:t>
            </w:r>
            <w:r w:rsidRPr="005B42E8">
              <w:rPr>
                <w:rStyle w:val="FontStyle22"/>
                <w:color w:val="000000"/>
                <w:sz w:val="20"/>
              </w:rPr>
              <w:t xml:space="preserve"> к 1997</w:t>
            </w:r>
            <w:r w:rsidR="00980770" w:rsidRPr="005B42E8">
              <w:rPr>
                <w:rStyle w:val="FontStyle22"/>
                <w:color w:val="000000"/>
                <w:sz w:val="20"/>
              </w:rPr>
              <w:t> г</w:t>
            </w:r>
            <w:r w:rsidRPr="005B42E8">
              <w:rPr>
                <w:rStyle w:val="FontStyle22"/>
                <w:color w:val="000000"/>
                <w:sz w:val="20"/>
              </w:rPr>
              <w:t>.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Зерновые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492,0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100,0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Масличные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22,92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106,3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Хлопок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4,4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95,7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Джут и кенаф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0,260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60,2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Сахарный тростник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83,63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106,0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Сахарная свекла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14,02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93,7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Табак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2,1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54,0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Чай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0,670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108,5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Фрукты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54,9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107,9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Мясо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43,55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106,5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Продукция водных промыслов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38,54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107,0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Молоко коровье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6,63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105,4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Шерсть овечья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0,290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98,6</w:t>
            </w:r>
          </w:p>
        </w:tc>
      </w:tr>
      <w:tr w:rsidR="00C863CA" w:rsidRPr="005B42E8" w:rsidTr="005B42E8">
        <w:trPr>
          <w:cantSplit/>
        </w:trPr>
        <w:tc>
          <w:tcPr>
            <w:tcW w:w="2712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Шелковичные коконы</w:t>
            </w:r>
          </w:p>
        </w:tc>
        <w:tc>
          <w:tcPr>
            <w:tcW w:w="865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0,548</w:t>
            </w:r>
          </w:p>
        </w:tc>
        <w:tc>
          <w:tcPr>
            <w:tcW w:w="1423" w:type="pct"/>
            <w:shd w:val="clear" w:color="auto" w:fill="auto"/>
          </w:tcPr>
          <w:p w:rsidR="00C863CA" w:rsidRPr="005B42E8" w:rsidRDefault="00C863CA" w:rsidP="005B42E8">
            <w:pPr>
              <w:pStyle w:val="Style15"/>
              <w:widowControl/>
              <w:spacing w:line="360" w:lineRule="auto"/>
              <w:jc w:val="both"/>
              <w:rPr>
                <w:rStyle w:val="FontStyle22"/>
                <w:color w:val="000000"/>
                <w:sz w:val="20"/>
              </w:rPr>
            </w:pPr>
            <w:r w:rsidRPr="005B42E8">
              <w:rPr>
                <w:rStyle w:val="FontStyle22"/>
                <w:color w:val="000000"/>
                <w:sz w:val="20"/>
              </w:rPr>
              <w:t>116,8</w:t>
            </w:r>
          </w:p>
        </w:tc>
      </w:tr>
    </w:tbl>
    <w:p w:rsidR="00C863CA" w:rsidRPr="00980770" w:rsidRDefault="00C863CA" w:rsidP="00980770">
      <w:pPr>
        <w:pStyle w:val="Style4"/>
        <w:widowControl/>
        <w:spacing w:line="360" w:lineRule="auto"/>
        <w:ind w:firstLine="709"/>
        <w:rPr>
          <w:color w:val="000000"/>
          <w:sz w:val="28"/>
          <w:szCs w:val="20"/>
        </w:rPr>
      </w:pPr>
    </w:p>
    <w:p w:rsidR="00C863CA" w:rsidRPr="00980770" w:rsidRDefault="00F87DF7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>
        <w:rPr>
          <w:rStyle w:val="FontStyle20"/>
          <w:color w:val="000000"/>
          <w:sz w:val="28"/>
        </w:rPr>
        <w:br w:type="page"/>
      </w:r>
      <w:r w:rsidR="00C863CA" w:rsidRPr="00980770">
        <w:rPr>
          <w:rStyle w:val="FontStyle20"/>
          <w:color w:val="000000"/>
          <w:sz w:val="28"/>
        </w:rPr>
        <w:t>Системность Китая, его внешнеэкономическая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="00C863CA" w:rsidRPr="00980770">
        <w:rPr>
          <w:rStyle w:val="FontStyle20"/>
          <w:color w:val="000000"/>
          <w:sz w:val="28"/>
        </w:rPr>
        <w:t xml:space="preserve">полноценность и самодостаточность позволяют предположить, что дальнейшее развитие этой страны будет сохранять значительную </w:t>
      </w:r>
      <w:r w:rsidR="00980770" w:rsidRPr="00980770">
        <w:rPr>
          <w:rStyle w:val="FontStyle20"/>
          <w:color w:val="000000"/>
          <w:sz w:val="28"/>
        </w:rPr>
        <w:t>специфику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то</w:t>
      </w:r>
      <w:r w:rsidR="00C863CA" w:rsidRPr="00980770">
        <w:rPr>
          <w:rStyle w:val="FontStyle20"/>
          <w:color w:val="000000"/>
          <w:sz w:val="28"/>
        </w:rPr>
        <w:t xml:space="preserve"> есть базироваться главным образом на внутренних потребностях и закономерностях. При этом задача поддержания высокой экономической динамики еще длительное время будет иметь характер приоритетной национальной цели не только в силу внутренних обстоятельств, но и поскольку в ситуации депрессивного состояния хозяйства многих развитых и развивающихся стран продление фазы быстрого роста попутно дает еще целый ряд преимуществ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="00C863CA" w:rsidRPr="00980770">
        <w:rPr>
          <w:rStyle w:val="FontStyle20"/>
          <w:color w:val="000000"/>
          <w:sz w:val="28"/>
        </w:rPr>
        <w:t xml:space="preserve">внешнеэкономических, политических </w:t>
      </w:r>
      <w:r w:rsidR="00980770">
        <w:rPr>
          <w:rStyle w:val="FontStyle20"/>
          <w:color w:val="000000"/>
          <w:sz w:val="28"/>
        </w:rPr>
        <w:t>и т.п.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Вряд ли хозяйство КНР будет полностью повторять известные траектории и этапы новоиндустриального развития, воспроизводить ориентированную на экспорт внешнеэкономическую модель, хотя в отдельных небольших частях этой гигантской системы сходство с соседними странами может оказаться значительным. При этом и постиндустриальное качество отдельных сегментов хозяйства Китая выглядит достижимым на основе уже сложившейся социально-экономической структуры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демонстрирующей в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е</w:t>
      </w:r>
      <w:r w:rsidRPr="00980770">
        <w:rPr>
          <w:rStyle w:val="FontStyle20"/>
          <w:color w:val="000000"/>
          <w:sz w:val="28"/>
        </w:rPr>
        <w:t xml:space="preserve"> годы высокую и растушую зрелость внешнеэкономических показателей. При этом городская и сельская действительность внутри Китая по-прежнему во многом противоречат классическим и современным представлениям о капитализме и имеют немало потенциальных черт нового, постиндустриального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строя, в том числе вследствие организации таких фрагментов при активном участии государства. Высокая роль политических факторов в общественной жизни очень часто ведет и будет вести в КНР к замещению рыночного регулирования субъективным целеполаганием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в планировании, распределении ресурсов, кредитной политике </w:t>
      </w:r>
      <w:r w:rsidR="00980770">
        <w:rPr>
          <w:rStyle w:val="FontStyle20"/>
          <w:color w:val="000000"/>
          <w:sz w:val="28"/>
        </w:rPr>
        <w:t>и т.п.</w:t>
      </w:r>
      <w:r w:rsidRPr="00980770">
        <w:rPr>
          <w:rStyle w:val="FontStyle20"/>
          <w:color w:val="000000"/>
          <w:sz w:val="28"/>
        </w:rPr>
        <w:t xml:space="preserve"> В стране наблюдается опережающий рост коллективной собственности, а также индивидуальной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собственности самостоятельно занятых и, соответственно, значение прибыли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среди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мотивов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производства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снижается, уступая первенство стабильности рынков. Быстро развивается общественное самоуправление, в том числе крестьянское, которое среди своих целей имеет стабилизацию цен, гарантированность устойчивых условий сбыта продукции и приобретения удобрений, техники </w:t>
      </w:r>
      <w:r w:rsidR="00980770">
        <w:rPr>
          <w:rStyle w:val="FontStyle20"/>
          <w:color w:val="000000"/>
          <w:sz w:val="28"/>
        </w:rPr>
        <w:t>и т.п.</w:t>
      </w:r>
      <w:r w:rsidRPr="00980770">
        <w:rPr>
          <w:rStyle w:val="FontStyle20"/>
          <w:color w:val="000000"/>
          <w:sz w:val="28"/>
        </w:rPr>
        <w:t xml:space="preserve"> Все это так или иначе способствует воспроизведению идей самообеспечения на самых разных уровнях, распространению относительно замкнутых технологических цепей </w:t>
      </w:r>
      <w:r w:rsidR="00980770">
        <w:rPr>
          <w:rStyle w:val="FontStyle20"/>
          <w:color w:val="000000"/>
          <w:sz w:val="28"/>
        </w:rPr>
        <w:t>и т.д.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Не нужно исключать, что постиндустриальность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в китайском варианте развития, помимо ставших уже привычными прорывов в наукоемких и высокотехнологичных отраслях, примет еще и необычные формы массовой модернизации деревенской жизни. На этом пути, уже давно обсуждаемом китайскими футурологами, есть немало заманчивых перспектив, впрочем как и сложных технико-экономических проблем. Ясно, однако, что аграрный компонент китайской цивилизации сыграл и сыграет куда большую роль в ее развитии, чем мы это обыкновенно представляем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хотя бы потому, что со многими мирохозяйственными проблемами, стоящими перед нынешними более урбанизированными экономиками стран ЮВВА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Китай уже справился, так и оставшись в основном крестьянским обществом.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Вряд ли только стоит из этого делать вывод об отсталости страны. Тем более, что крестьянство может в ряде случаев оказываться современней горожан, если иметь в виду хозяйственную психологию, некоторые аспекты которой измеряются современными методами. Так, в исследовании известного социолога Алекса Инкелеса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и его коллег, предметом был индивидуальный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уровень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модернизированности сознания.</w:t>
      </w:r>
    </w:p>
    <w:p w:rsidR="00C863CA" w:rsidRPr="00980770" w:rsidRDefault="00C863CA" w:rsidP="00980770">
      <w:pPr>
        <w:pStyle w:val="Style4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Выяснилось, что жители сельских районов в Китае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существенно превосходят горожан по пониманию своей социально-экономической роли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склонности к продолжению образования, способности к долгосрочному планированию хозяйственной деятельности, умению использовать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в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работе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технические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достижения,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заботе об</w:t>
      </w:r>
      <w:r w:rsidR="008F50ED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окружающей среде </w:t>
      </w:r>
      <w:r w:rsidR="00980770">
        <w:rPr>
          <w:rStyle w:val="FontStyle20"/>
          <w:color w:val="000000"/>
          <w:sz w:val="28"/>
        </w:rPr>
        <w:t>и т.д.</w:t>
      </w:r>
      <w:r w:rsidRPr="00980770">
        <w:rPr>
          <w:rStyle w:val="FontStyle20"/>
          <w:color w:val="000000"/>
          <w:sz w:val="28"/>
        </w:rPr>
        <w:t xml:space="preserve"> Таким образом, внутренний модернизационный потенциал современного китайского общества может серьезно недооцениваться в распространенных штампах об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э</w:t>
      </w:r>
      <w:r w:rsidRPr="00980770">
        <w:rPr>
          <w:rStyle w:val="FontStyle20"/>
          <w:color w:val="000000"/>
          <w:sz w:val="28"/>
        </w:rPr>
        <w:t>кстенсивном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характере агросферы в этой стране, ее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п</w:t>
      </w:r>
      <w:r w:rsidRPr="00980770">
        <w:rPr>
          <w:rStyle w:val="FontStyle20"/>
          <w:color w:val="000000"/>
          <w:sz w:val="28"/>
        </w:rPr>
        <w:t>роблемности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="00980770">
        <w:rPr>
          <w:rStyle w:val="FontStyle20"/>
          <w:color w:val="000000"/>
          <w:sz w:val="28"/>
        </w:rPr>
        <w:t>и т.п.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Необходимо также добавить, что мощный промышленный спурт Китая в последние двадцать лет оставил в структуре хозяйства еще довольно много места для намечаемого национальными планами опережающего роста доли сферы услуг, относительно отстававшей от индустрии в конце века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что склоняет к благоприятным выводам относительно долгосрочных перспектив хозяйственной ситуации в стране в ходе весьма вероятной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с</w:t>
      </w:r>
      <w:r w:rsidRPr="00980770">
        <w:rPr>
          <w:rStyle w:val="FontStyle20"/>
          <w:color w:val="000000"/>
          <w:sz w:val="28"/>
        </w:rPr>
        <w:t>ервисизации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экономики.</w:t>
      </w:r>
    </w:p>
    <w:p w:rsidR="00C863CA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Говоря о хозяйстве азиатского исполина в целом и потенциале его отношений с мировой экономикой на принципах свободы торговли и сравнительных преимуществ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вероятно, нужно отметить, что такое взаимодействие выглядит на исходе века проблематичным. И дело вовсе не в пристрастиях людей, занимающихся стратегическими хозяйственными разработками и текущим экономическим управлением в Китае, а в весьма простых соотношениях между внешними рынками и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м</w:t>
      </w:r>
      <w:r w:rsidRPr="00980770">
        <w:rPr>
          <w:rStyle w:val="FontStyle20"/>
          <w:color w:val="000000"/>
          <w:sz w:val="28"/>
        </w:rPr>
        <w:t>ассой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китайского хозяйства, его инертностью, влияющей на внутренние закономерности развития, наконец, в действительных правилах функционирования мирового рынка и его малопредсказуемых реакциях на китайский фактор. Структурные особенности экономики и ее почти полноотраслевой характер, как представляется, вместе с массой китайского хозяйства и уровнем внутренних цен будут и далее сдерживать рост включенности КНР в международное разделение труда, особенно на интеграционных началах.</w:t>
      </w:r>
    </w:p>
    <w:p w:rsidR="00C863CA" w:rsidRPr="00980770" w:rsidRDefault="00C863CA" w:rsidP="00980770">
      <w:pPr>
        <w:pStyle w:val="Style10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Очень существенную роль в развитии емкого и динамичного внутреннего рынка играет совокупность двух обстоятельств: разнообразия природно-географических и бытовых условий, в которых живет огромное население, во-первых, и сравнительно равномерного распределения доходов</w:t>
      </w:r>
      <w:r w:rsidR="00F35343" w:rsidRPr="00980770">
        <w:rPr>
          <w:rStyle w:val="FontStyle20"/>
          <w:color w:val="000000"/>
          <w:sz w:val="28"/>
        </w:rPr>
        <w:t>,</w:t>
      </w:r>
      <w:r w:rsidRPr="00980770">
        <w:rPr>
          <w:rStyle w:val="FontStyle20"/>
          <w:color w:val="000000"/>
          <w:sz w:val="28"/>
        </w:rPr>
        <w:t xml:space="preserve"> во-вторых. И это, подчеркну, не равенство в нищете: с каждым годов увеличивается ассортимент приобретаемых </w:t>
      </w:r>
      <w:r w:rsidR="00980770">
        <w:rPr>
          <w:rStyle w:val="FontStyle20"/>
          <w:color w:val="000000"/>
          <w:sz w:val="28"/>
        </w:rPr>
        <w:t>«</w:t>
      </w:r>
      <w:r w:rsidR="00980770" w:rsidRPr="00980770">
        <w:rPr>
          <w:rStyle w:val="FontStyle20"/>
          <w:color w:val="000000"/>
          <w:sz w:val="28"/>
        </w:rPr>
        <w:t>с</w:t>
      </w:r>
      <w:r w:rsidRPr="00980770">
        <w:rPr>
          <w:rStyle w:val="FontStyle20"/>
          <w:color w:val="000000"/>
          <w:sz w:val="28"/>
        </w:rPr>
        <w:t>редним</w:t>
      </w:r>
      <w:r w:rsidR="00980770">
        <w:rPr>
          <w:rStyle w:val="FontStyle20"/>
          <w:color w:val="000000"/>
          <w:sz w:val="28"/>
        </w:rPr>
        <w:t>»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 xml:space="preserve">китайцем товаров и благ, воспроизводится и удовлетворяется колоссальный массовый спрос. Но для того, чтобы обеспечить спокойное течение и развитие этого процесса в современных китайских условиях, нельзя обойтись только коммерческим инвестированием и рыночным распределением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необходимы крупные вложения в транспортно-торговую и прочую инфраструктуру, что, разумеется, пока не под силу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экономически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слабому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национальному частному предпринимателю, а также значительные перераспределительные усилия. Опять-таки, на первый план выступает государство, в том числе в роли непосредственного производителя, кредитора и дистрибьютора, а также организатора инвестиционных толчков, оживляющих внутренний спрос в нынешней дефляционной обстановке.</w:t>
      </w:r>
    </w:p>
    <w:p w:rsidR="00C863CA" w:rsidRPr="00980770" w:rsidRDefault="00C863CA" w:rsidP="00980770">
      <w:pPr>
        <w:pStyle w:val="Style10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Колебания спроса и веяния моды на внутреннем рынке при этом представляют для китайских производителей, взятых в целом, куда большее значение, чем конъюнктура жестких и ограниченных внешних рынков. Поэтому они все больше ориентируются на национального потребителя, отводя внешнеэкономическим связям вспомогательную роль. Открываясь миру, Китай как хозяйственное образование в относительном выражении становится более замкнутым. Парадокс? Один из многих, свидетелями которых мы являемся при анализе китайской экономики.</w:t>
      </w:r>
    </w:p>
    <w:p w:rsidR="00097F1C" w:rsidRPr="00980770" w:rsidRDefault="00C863CA" w:rsidP="00980770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980770">
        <w:rPr>
          <w:rStyle w:val="FontStyle20"/>
          <w:color w:val="000000"/>
          <w:sz w:val="28"/>
        </w:rPr>
        <w:t>Характерно, что некоторые долгосрочные прогнозы социально-экономического развития страны, разработанные во второй половине 90</w:t>
      </w:r>
      <w:r w:rsidR="00980770">
        <w:rPr>
          <w:rStyle w:val="FontStyle20"/>
          <w:color w:val="000000"/>
          <w:sz w:val="28"/>
        </w:rPr>
        <w:t>-</w:t>
      </w:r>
      <w:r w:rsidR="00980770" w:rsidRPr="00980770">
        <w:rPr>
          <w:rStyle w:val="FontStyle20"/>
          <w:color w:val="000000"/>
          <w:sz w:val="28"/>
        </w:rPr>
        <w:t>х</w:t>
      </w:r>
      <w:r w:rsidRPr="00980770">
        <w:rPr>
          <w:rStyle w:val="FontStyle20"/>
          <w:color w:val="000000"/>
          <w:sz w:val="28"/>
        </w:rPr>
        <w:t xml:space="preserve"> годов, предусматривали примерно равные темпы роста ВВП и внешнеторгового оборота вплоть до 2010</w:t>
      </w:r>
      <w:r w:rsidR="00980770">
        <w:rPr>
          <w:rStyle w:val="FontStyle20"/>
          <w:color w:val="000000"/>
          <w:sz w:val="28"/>
        </w:rPr>
        <w:t> </w:t>
      </w:r>
      <w:r w:rsidR="00980770" w:rsidRPr="00980770">
        <w:rPr>
          <w:rStyle w:val="FontStyle20"/>
          <w:color w:val="000000"/>
          <w:sz w:val="28"/>
        </w:rPr>
        <w:t>г</w:t>
      </w:r>
      <w:r w:rsidRPr="00980770">
        <w:rPr>
          <w:rStyle w:val="FontStyle20"/>
          <w:color w:val="000000"/>
          <w:sz w:val="28"/>
        </w:rPr>
        <w:t xml:space="preserve">., а в </w:t>
      </w:r>
      <w:r w:rsidR="00573C65" w:rsidRPr="00980770">
        <w:rPr>
          <w:rStyle w:val="FontStyle20"/>
          <w:color w:val="000000"/>
          <w:sz w:val="28"/>
        </w:rPr>
        <w:t>следующем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десятилетии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="00980770">
        <w:rPr>
          <w:rStyle w:val="FontStyle20"/>
          <w:color w:val="000000"/>
          <w:sz w:val="28"/>
        </w:rPr>
        <w:t>–</w:t>
      </w:r>
      <w:r w:rsidR="00980770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существенно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более</w:t>
      </w:r>
      <w:r w:rsidR="00F35343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низкий рост</w:t>
      </w:r>
      <w:r w:rsidR="008F50ED" w:rsidRPr="00980770">
        <w:rPr>
          <w:rStyle w:val="FontStyle20"/>
          <w:color w:val="000000"/>
          <w:sz w:val="28"/>
        </w:rPr>
        <w:t xml:space="preserve"> </w:t>
      </w:r>
      <w:r w:rsidRPr="00980770">
        <w:rPr>
          <w:rStyle w:val="FontStyle20"/>
          <w:color w:val="000000"/>
          <w:sz w:val="28"/>
        </w:rPr>
        <w:t>международной торговли</w:t>
      </w:r>
      <w:r w:rsidR="00097F1C" w:rsidRPr="00980770">
        <w:rPr>
          <w:rStyle w:val="FontStyle20"/>
          <w:color w:val="000000"/>
          <w:sz w:val="28"/>
        </w:rPr>
        <w:t>.</w:t>
      </w:r>
      <w:r w:rsidRPr="00980770">
        <w:rPr>
          <w:rStyle w:val="FontStyle20"/>
          <w:color w:val="000000"/>
          <w:sz w:val="28"/>
        </w:rPr>
        <w:t xml:space="preserve"> В более свежих изданиях уже в </w:t>
      </w:r>
      <w:r w:rsidR="00573C65" w:rsidRPr="00980770">
        <w:rPr>
          <w:rStyle w:val="FontStyle20"/>
          <w:color w:val="000000"/>
          <w:sz w:val="28"/>
        </w:rPr>
        <w:t>ближайшие</w:t>
      </w:r>
      <w:r w:rsidRPr="00980770">
        <w:rPr>
          <w:rStyle w:val="FontStyle20"/>
          <w:color w:val="000000"/>
          <w:sz w:val="28"/>
        </w:rPr>
        <w:t xml:space="preserve"> годы предполагается опережающий рост ВВП по сравнению с внешней торговлей. Так, специалисты из авторитетного Центра исследований развития при Госсовете КНР в своей прогнозной модели последствий вступления КНР в ВТО исходят из темпа прироста ВВП на 7,8</w:t>
      </w:r>
      <w:r w:rsidR="00980770" w:rsidRPr="00980770">
        <w:rPr>
          <w:rStyle w:val="FontStyle20"/>
          <w:color w:val="000000"/>
          <w:sz w:val="28"/>
        </w:rPr>
        <w:t>6</w:t>
      </w:r>
      <w:r w:rsidR="00980770">
        <w:rPr>
          <w:rStyle w:val="FontStyle20"/>
          <w:color w:val="000000"/>
          <w:sz w:val="28"/>
        </w:rPr>
        <w:t>%</w:t>
      </w:r>
      <w:r w:rsidRPr="00980770">
        <w:rPr>
          <w:rStyle w:val="FontStyle20"/>
          <w:color w:val="000000"/>
          <w:sz w:val="28"/>
        </w:rPr>
        <w:t xml:space="preserve"> в год</w:t>
      </w:r>
      <w:r w:rsidR="00097F1C" w:rsidRPr="00980770">
        <w:rPr>
          <w:rStyle w:val="FontStyle20"/>
          <w:color w:val="000000"/>
          <w:sz w:val="28"/>
        </w:rPr>
        <w:t>.</w:t>
      </w:r>
      <w:bookmarkStart w:id="0" w:name="_GoBack"/>
      <w:bookmarkEnd w:id="0"/>
    </w:p>
    <w:sectPr w:rsidR="00097F1C" w:rsidRPr="00980770" w:rsidSect="00980770">
      <w:pgSz w:w="11905" w:h="16837"/>
      <w:pgMar w:top="1134" w:right="850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2E8" w:rsidRDefault="005B42E8">
      <w:r>
        <w:separator/>
      </w:r>
    </w:p>
  </w:endnote>
  <w:endnote w:type="continuationSeparator" w:id="0">
    <w:p w:rsidR="005B42E8" w:rsidRDefault="005B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2E8" w:rsidRDefault="005B42E8">
      <w:r>
        <w:separator/>
      </w:r>
    </w:p>
  </w:footnote>
  <w:footnote w:type="continuationSeparator" w:id="0">
    <w:p w:rsidR="005B42E8" w:rsidRDefault="005B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F1C"/>
    <w:rsid w:val="00097F1C"/>
    <w:rsid w:val="0046640F"/>
    <w:rsid w:val="00573C65"/>
    <w:rsid w:val="00595710"/>
    <w:rsid w:val="005B42E8"/>
    <w:rsid w:val="005D4EE0"/>
    <w:rsid w:val="007326B6"/>
    <w:rsid w:val="007D464F"/>
    <w:rsid w:val="008F50ED"/>
    <w:rsid w:val="00980770"/>
    <w:rsid w:val="00B21BB3"/>
    <w:rsid w:val="00BE7592"/>
    <w:rsid w:val="00C863CA"/>
    <w:rsid w:val="00C87E39"/>
    <w:rsid w:val="00F12932"/>
    <w:rsid w:val="00F35343"/>
    <w:rsid w:val="00F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979" w:lineRule="exact"/>
      <w:jc w:val="both"/>
    </w:pPr>
  </w:style>
  <w:style w:type="paragraph" w:customStyle="1" w:styleId="Style3">
    <w:name w:val="Style3"/>
    <w:basedOn w:val="a"/>
    <w:uiPriority w:val="99"/>
    <w:pPr>
      <w:spacing w:line="490" w:lineRule="exact"/>
      <w:ind w:firstLine="720"/>
      <w:jc w:val="both"/>
    </w:pPr>
  </w:style>
  <w:style w:type="paragraph" w:customStyle="1" w:styleId="Style4">
    <w:name w:val="Style4"/>
    <w:basedOn w:val="a"/>
    <w:uiPriority w:val="99"/>
    <w:pPr>
      <w:spacing w:line="490" w:lineRule="exact"/>
      <w:jc w:val="both"/>
    </w:pPr>
  </w:style>
  <w:style w:type="paragraph" w:customStyle="1" w:styleId="Style5">
    <w:name w:val="Style5"/>
    <w:basedOn w:val="a"/>
    <w:uiPriority w:val="99"/>
    <w:pPr>
      <w:spacing w:line="490" w:lineRule="exact"/>
      <w:ind w:firstLine="710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90" w:lineRule="exact"/>
    </w:pPr>
  </w:style>
  <w:style w:type="paragraph" w:customStyle="1" w:styleId="Style8">
    <w:name w:val="Style8"/>
    <w:basedOn w:val="a"/>
    <w:uiPriority w:val="99"/>
    <w:pPr>
      <w:spacing w:line="490" w:lineRule="exact"/>
      <w:ind w:firstLine="715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490" w:lineRule="exact"/>
      <w:ind w:firstLine="1138"/>
      <w:jc w:val="both"/>
    </w:pPr>
  </w:style>
  <w:style w:type="paragraph" w:customStyle="1" w:styleId="Style11">
    <w:name w:val="Style11"/>
    <w:basedOn w:val="a"/>
    <w:uiPriority w:val="99"/>
    <w:pPr>
      <w:spacing w:line="307" w:lineRule="exact"/>
      <w:ind w:firstLine="610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jc w:val="both"/>
    </w:pPr>
  </w:style>
  <w:style w:type="paragraph" w:customStyle="1" w:styleId="Style14">
    <w:name w:val="Style14"/>
    <w:basedOn w:val="a"/>
    <w:uiPriority w:val="99"/>
    <w:pPr>
      <w:spacing w:line="302" w:lineRule="exact"/>
      <w:jc w:val="center"/>
    </w:pPr>
  </w:style>
  <w:style w:type="paragraph" w:customStyle="1" w:styleId="Style15">
    <w:name w:val="Style15"/>
    <w:basedOn w:val="a"/>
    <w:uiPriority w:val="99"/>
    <w:pPr>
      <w:spacing w:line="456" w:lineRule="exact"/>
    </w:pPr>
  </w:style>
  <w:style w:type="paragraph" w:customStyle="1" w:styleId="Style16">
    <w:name w:val="Style16"/>
    <w:basedOn w:val="a"/>
    <w:uiPriority w:val="99"/>
    <w:pPr>
      <w:spacing w:line="600" w:lineRule="exact"/>
    </w:pPr>
  </w:style>
  <w:style w:type="paragraph" w:customStyle="1" w:styleId="Style17">
    <w:name w:val="Style17"/>
    <w:basedOn w:val="a"/>
    <w:uiPriority w:val="99"/>
    <w:pPr>
      <w:spacing w:line="306" w:lineRule="exact"/>
    </w:pPr>
  </w:style>
  <w:style w:type="paragraph" w:customStyle="1" w:styleId="Style18">
    <w:name w:val="Style18"/>
    <w:basedOn w:val="a"/>
    <w:uiPriority w:val="99"/>
    <w:pPr>
      <w:spacing w:line="298" w:lineRule="exact"/>
      <w:jc w:val="both"/>
    </w:p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table" w:styleId="1">
    <w:name w:val="Table Grid 1"/>
    <w:basedOn w:val="a1"/>
    <w:uiPriority w:val="99"/>
    <w:rsid w:val="00980770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5939</Words>
  <Characters>33856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Параметры взаимодействия КНР с мировой экономикой</vt:lpstr>
    </vt:vector>
  </TitlesOfParts>
  <Company/>
  <LinksUpToDate>false</LinksUpToDate>
  <CharactersWithSpaces>39716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взаимодействия КНР с мировой экономикой</dc:title>
  <dc:subject/>
  <dc:creator/>
  <cp:keywords> </cp:keywords>
  <dc:description/>
  <cp:lastModifiedBy/>
  <cp:revision>1</cp:revision>
  <dcterms:created xsi:type="dcterms:W3CDTF">2014-02-28T04:05:00Z</dcterms:created>
  <dcterms:modified xsi:type="dcterms:W3CDTF">2014-02-28T04:05:00Z</dcterms:modified>
</cp:coreProperties>
</file>