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72" w:rsidRDefault="004E4D72">
      <w:pPr>
        <w:pStyle w:val="Z16"/>
        <w:jc w:val="center"/>
        <w:rPr>
          <w:b w:val="0"/>
          <w:bCs w:val="0"/>
          <w:sz w:val="24"/>
          <w:szCs w:val="24"/>
        </w:rPr>
      </w:pPr>
      <w:r>
        <w:t>Подготовка обжигового газа к контактному окислению</w:t>
      </w:r>
    </w:p>
    <w:p w:rsidR="004E4D72" w:rsidRDefault="004E4D72">
      <w:pPr>
        <w:pStyle w:val="Mystyle"/>
      </w:pPr>
    </w:p>
    <w:p w:rsidR="004E4D72" w:rsidRDefault="004E4D72">
      <w:pPr>
        <w:pStyle w:val="Mystyle"/>
      </w:pPr>
      <w:r>
        <w:t xml:space="preserve">     Подготовка обжигового газа к контактному окислению заключается в удалении из него примесей, присутствие которых может вызвать затруднения при проведении последующий стадий, а также нагрев (или охлаждение) до температуры, при которой начинается контактное окисление. </w:t>
      </w:r>
    </w:p>
    <w:p w:rsidR="004E4D72" w:rsidRDefault="004E4D72">
      <w:pPr>
        <w:pStyle w:val="Mystyle"/>
      </w:pPr>
      <w:r>
        <w:t xml:space="preserve">     Обжиговый газ, полученный сжиганием колчедана в печах КС содержит большое количество огарковой пыли, соединения мышьяка, селена и фтора. Очистка обжигового газа начинается в печном отделении, где в циклонах  и сухих электрофильтрах осаждают огарковую пыль. Содержание пыли в газе после этих аппаратов сухой очистки не должно превышать 50 мг/м³. Затем газ направляют на стадию мокрой очистки (в промывное отделение), где из обжигового газа удаляют остатки пыли, каталитические яды (соединения мышьяка и фтора), а также соединения селена.</w:t>
      </w:r>
    </w:p>
    <w:p w:rsidR="004E4D72" w:rsidRDefault="004E4D72">
      <w:pPr>
        <w:pStyle w:val="Mystyle"/>
      </w:pPr>
      <w:r>
        <w:t xml:space="preserve">     Наличие в газе пыли, даже в небольших количествах оставшихся после сухой очистки, может привести к повышению гидравлического сопротивления аппаратов и отравлению катализатора соединениями А</w:t>
      </w:r>
      <w:r>
        <w:rPr>
          <w:lang w:val="en-US"/>
        </w:rPr>
        <w:t>s</w:t>
      </w:r>
      <w:r>
        <w:t xml:space="preserve">, адсорбированными на огарковой пыли. Отравление катализатора произойдет в том случае, если в газовой фаза останутся оксиды мышьяка </w:t>
      </w:r>
      <w:r>
        <w:rPr>
          <w:lang w:val="en-US"/>
        </w:rPr>
        <w:t>As</w:t>
      </w:r>
      <w:r>
        <w:t>2</w:t>
      </w:r>
      <w:r>
        <w:rPr>
          <w:lang w:val="en-US"/>
        </w:rPr>
        <w:t>O</w:t>
      </w:r>
      <w:r>
        <w:t>3 или соединения фтора (</w:t>
      </w:r>
      <w:r>
        <w:rPr>
          <w:lang w:val="en-US"/>
        </w:rPr>
        <w:t>HF</w:t>
      </w:r>
      <w:r>
        <w:t xml:space="preserve"> и </w:t>
      </w:r>
      <w:r>
        <w:rPr>
          <w:lang w:val="en-US"/>
        </w:rPr>
        <w:t>SiF</w:t>
      </w:r>
      <w:r>
        <w:t xml:space="preserve">4). Диоксид селена </w:t>
      </w:r>
      <w:r>
        <w:rPr>
          <w:lang w:val="en-US"/>
        </w:rPr>
        <w:t>SeO</w:t>
      </w:r>
      <w:r>
        <w:t>2 не является ядом для катализатора контактного окисления, однако он представляет собой ценное исходное сырье для промышленности полупроводников.</w:t>
      </w:r>
    </w:p>
    <w:p w:rsidR="004E4D72" w:rsidRDefault="004E4D72">
      <w:pPr>
        <w:pStyle w:val="Mystyle"/>
      </w:pPr>
      <w:r>
        <w:t xml:space="preserve">     Мокрая очистка обжигового газа заключается в промывке его разбавленной серной кислотой. При этом происходит ряд физических процессов: конденсация, абсорбции и т. д. </w:t>
      </w:r>
    </w:p>
    <w:p w:rsidR="004E4D72" w:rsidRDefault="004E4D72">
      <w:pPr>
        <w:pStyle w:val="Mystyle"/>
      </w:pPr>
      <w:r>
        <w:t xml:space="preserve">     Основные примеси обжигового газа (</w:t>
      </w:r>
      <w:r>
        <w:rPr>
          <w:lang w:val="en-US"/>
        </w:rPr>
        <w:t>As</w:t>
      </w:r>
      <w:r>
        <w:t>2</w:t>
      </w:r>
      <w:r>
        <w:rPr>
          <w:lang w:val="en-US"/>
        </w:rPr>
        <w:t>O</w:t>
      </w:r>
      <w:r>
        <w:t xml:space="preserve">3, </w:t>
      </w:r>
      <w:r>
        <w:rPr>
          <w:lang w:val="en-US"/>
        </w:rPr>
        <w:t>SeO</w:t>
      </w:r>
      <w:r>
        <w:t xml:space="preserve">2 и др.), находящиеся в газо - и парообразном состоянии, выделяются при промывке серной кислотой, имеющей более низкую температуру, чем очищенный газ. Примеси частично растворяются в серной кислоте, но большая их часть переходит в состав сернокислотного тумана. Появление тумана объясняют тем, что кроме </w:t>
      </w:r>
      <w:r>
        <w:rPr>
          <w:lang w:val="en-US"/>
        </w:rPr>
        <w:t>SO</w:t>
      </w:r>
      <w:r>
        <w:t>2 обжиговый газ содержит небольшое количество триоксида серы и паров воды, которые при охлаждении газа взаимодействуют с образованием паров серной кислоты. В первой промывной башне газ очень быстро охлаждается; при этом пары серной кислоты конденсируются в объеме в виде тумана – мелких взвешенных в газе капель.</w:t>
      </w:r>
    </w:p>
    <w:p w:rsidR="004E4D72" w:rsidRDefault="004E4D72">
      <w:pPr>
        <w:pStyle w:val="Mystyle"/>
      </w:pPr>
      <w:r>
        <w:t xml:space="preserve">     Суммарное поверхность капель тумана серной кислоты весьма велика, поэтому в них растворяется большое количество </w:t>
      </w:r>
      <w:r>
        <w:rPr>
          <w:lang w:val="en-US"/>
        </w:rPr>
        <w:t>As</w:t>
      </w:r>
      <w:r>
        <w:t>2</w:t>
      </w:r>
      <w:r>
        <w:rPr>
          <w:lang w:val="en-US"/>
        </w:rPr>
        <w:t>O</w:t>
      </w:r>
      <w:r>
        <w:t xml:space="preserve">3 и </w:t>
      </w:r>
      <w:r>
        <w:rPr>
          <w:lang w:val="en-US"/>
        </w:rPr>
        <w:t>SeO</w:t>
      </w:r>
      <w:r>
        <w:t>2 и других примесей выделяющихся из газа вместе с туманом в промывных башнях и электрофильтрах. Тщательная очистка газов от тумана необходима для выделения не только примесей, отравляющих контактную массу, но и содержащейся в каплях серной кислоты, иначе при прохождении газа через аппаратуру и трубопроводы будет происходить коррозия. При плохой очистке газа особенно большое количество тумана серной кислоты может выделяться в нагнетателях, так как высокая окружная скорость газа в них благоприятствует выделению мелких капель кислоты. Наибольшее разрушительное действие производит туманообразная серная кислота в контактном отделении. Продукты коррозии, образующиеся при взаимодействии серной кислоты с металлом труб контактных аппаратов, подогревателей и теплообменников, увеличивают сопротивление аппаратуры, уменьшают коэффициенты теплоотдачи и вызывают отложение твердых корок на первых слоях контактной массы.</w:t>
      </w:r>
    </w:p>
    <w:p w:rsidR="004E4D72" w:rsidRDefault="004E4D72">
      <w:pPr>
        <w:pStyle w:val="Mystyle"/>
      </w:pPr>
      <w:r>
        <w:t xml:space="preserve">     Для того чтобы мокрая очистка прошла эффективно, ее осуществляют в нескольких аппаратах. Первая промывная башня – полая, так как в насадочной или тарельчатой колонне будет происходить забивание контактных элементов осаждающейся пылью. Во второй (насадочной) промывной башне происходит укрупнение и частичное осаждение капель тумана. Окончательно туман улавливают в мокрых электрофильтрах.</w:t>
      </w:r>
    </w:p>
    <w:p w:rsidR="004E4D72" w:rsidRDefault="004E4D72">
      <w:pPr>
        <w:pStyle w:val="Mystyle"/>
      </w:pPr>
      <w:r>
        <w:t xml:space="preserve">     Для улучшения условий выделения тумана в мокрых электрофильтрах снижают температуру газа и концентрацию орошающей кислоты во второй промывной башне, а после первого электрофильтра пропускают газ через увлажнительную башню, орошаемую очень слабой (5% - ной) серной кислотой. При этом повышается относительная влажность газа, что приводит к поглощению паров воды каплями тумана и увеличению их размера.</w:t>
      </w:r>
    </w:p>
    <w:p w:rsidR="004E4D72" w:rsidRDefault="004E4D72">
      <w:pPr>
        <w:pStyle w:val="Mystyle"/>
      </w:pPr>
      <w:r>
        <w:t xml:space="preserve">     Во второй промывной и увлажнительной башнях газ практически полностью насыщается парами воды. Присутствие паров воды в газе приводит к конденсации кислоты в теплообменниках контактного отделения и образованию тумана в абсорбционном отделении. При этом возможны большие потери серной кислоты с отходящими газами, так как туман очень плохо улавливается в обычной абсорбционной аппаратуре. Этим объясняется необходимость тщательной осушки обжигового газа в очистном отделении. Осушку газа производят в насадочных башнях, где пары воды абсорбируются концентрированной серной кислотой. Содержание влаги в газе, выходящим из сушильных башен, не должен превышать 0,08г/м³(0,01%).</w:t>
      </w:r>
    </w:p>
    <w:p w:rsidR="004E4D72" w:rsidRDefault="004E4D72">
      <w:pPr>
        <w:pStyle w:val="Mystyle"/>
      </w:pPr>
      <w:r>
        <w:t xml:space="preserve">     Подготовка к контактному окислению газа, полученного при сжигании серы, значительно проще. Сера практически не содержит примесей, которые при ее сжигании могли бы стать каталитическими ядами. Поэтому очистка газа заключается лишь в его осушке. Так как осушка концентрированной серной кислотой происходит при низких температурах, целесообразно подвергать осушке не обжиговый газ, который пришлось бы специально охлаждать, а холодный воздух, подаваемый на сжигание серы. Обжиговый газ в этом случае будет содержать лишь минимальное (допустимое) количество паров воды и для проведения контактного окисления его нужно лишь охладить в котлах – утилизаторах до температуры зажигания катализатора.</w:t>
      </w:r>
    </w:p>
    <w:p w:rsidR="004E4D72" w:rsidRDefault="004E4D72">
      <w:pPr>
        <w:pStyle w:val="Mystyle"/>
      </w:pPr>
      <w:r>
        <w:t xml:space="preserve">     В связи с отсутствием громоздкой очистной аппаратуры схемы производства серной кислоты из серы называют «короткими».</w:t>
      </w:r>
    </w:p>
    <w:p w:rsidR="004E4D72" w:rsidRDefault="004E4D72">
      <w:pPr>
        <w:pStyle w:val="Mystyle"/>
      </w:pPr>
      <w:r>
        <w:t xml:space="preserve">    </w:t>
      </w:r>
    </w:p>
    <w:p w:rsidR="004E4D72" w:rsidRDefault="004E4D72">
      <w:pPr>
        <w:pStyle w:val="Mystyle"/>
      </w:pPr>
      <w:r>
        <w:t xml:space="preserve">При подготовке данной работы были использованы материалы с сайта </w:t>
      </w:r>
      <w:r w:rsidRPr="001C7D36">
        <w:t>http://www.studentu.ru</w:t>
      </w:r>
      <w:r>
        <w:t xml:space="preserve"> </w:t>
      </w:r>
    </w:p>
    <w:p w:rsidR="004E4D72" w:rsidRDefault="004E4D72">
      <w:pPr>
        <w:pStyle w:val="Mystyle"/>
      </w:pPr>
      <w:bookmarkStart w:id="0" w:name="_GoBack"/>
      <w:bookmarkEnd w:id="0"/>
    </w:p>
    <w:sectPr w:rsidR="004E4D7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2E414001"/>
    <w:multiLevelType w:val="multilevel"/>
    <w:tmpl w:val="4AE20EC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D36"/>
    <w:rsid w:val="001C7D36"/>
    <w:rsid w:val="004E4D72"/>
    <w:rsid w:val="005310A3"/>
    <w:rsid w:val="005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0D679D-188D-4923-9F77-4F1D89C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Block Text"/>
    <w:basedOn w:val="a"/>
    <w:uiPriority w:val="99"/>
    <w:pPr>
      <w:widowControl/>
      <w:autoSpaceDE/>
      <w:autoSpaceDN/>
      <w:ind w:left="360" w:right="-58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2014-01-27T06:34:00Z</dcterms:created>
  <dcterms:modified xsi:type="dcterms:W3CDTF">2014-01-27T06:34:00Z</dcterms:modified>
</cp:coreProperties>
</file>