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BF" w:rsidRDefault="00775990">
      <w:pPr>
        <w:widowControl w:val="0"/>
        <w:spacing w:before="120"/>
        <w:jc w:val="center"/>
        <w:rPr>
          <w:b/>
          <w:bCs/>
          <w:color w:val="000000"/>
          <w:sz w:val="32"/>
          <w:szCs w:val="32"/>
        </w:rPr>
      </w:pPr>
      <w:r>
        <w:rPr>
          <w:b/>
          <w:bCs/>
          <w:color w:val="000000"/>
          <w:sz w:val="32"/>
          <w:szCs w:val="32"/>
        </w:rPr>
        <w:t>Подводные лодки типа "Морж"</w:t>
      </w:r>
    </w:p>
    <w:p w:rsidR="00B303BF" w:rsidRDefault="00775990">
      <w:pPr>
        <w:widowControl w:val="0"/>
        <w:spacing w:before="120"/>
        <w:ind w:firstLine="567"/>
        <w:jc w:val="both"/>
        <w:rPr>
          <w:color w:val="000000"/>
          <w:sz w:val="24"/>
          <w:szCs w:val="24"/>
        </w:rPr>
      </w:pPr>
      <w:r>
        <w:rPr>
          <w:color w:val="000000"/>
          <w:sz w:val="24"/>
          <w:szCs w:val="24"/>
        </w:rPr>
        <w:t xml:space="preserve">После окончания испытаний подводной лодки "Акула" в 1911 году Морской главный штаб предполагал построить 25 подводных лодок водоизмещением 600-650 тонн. О предстоящем строительстве были извещены Балтийский и Невский заводы. Балтийский завод представил два проекта подводных лодок водоизмещением 630 т ("Морж") и 650 т ("Барс"). Невский завод предложил строить подводные лодки по проекту Голланда ("Нарвал" - проект Голланда № 31А). </w:t>
      </w:r>
    </w:p>
    <w:p w:rsidR="00B303BF" w:rsidRDefault="00775990">
      <w:pPr>
        <w:widowControl w:val="0"/>
        <w:spacing w:before="120"/>
        <w:ind w:firstLine="567"/>
        <w:jc w:val="both"/>
        <w:rPr>
          <w:color w:val="000000"/>
          <w:sz w:val="24"/>
          <w:szCs w:val="24"/>
        </w:rPr>
      </w:pPr>
      <w:r>
        <w:rPr>
          <w:color w:val="000000"/>
          <w:sz w:val="24"/>
          <w:szCs w:val="24"/>
        </w:rPr>
        <w:t xml:space="preserve">Приняв решение о строительстве шести подводных лодок для Черного моря, Морское министерство выдало заказ Балтийскому заводу, открывшему свое отделение в Николаеве, на постройку трех подводных лодок водоизмещением 630 тонн. Эти подводные лодки получили наименования "Морж", "Тюлень" и "Нерпа". </w:t>
      </w:r>
    </w:p>
    <w:p w:rsidR="00B303BF" w:rsidRDefault="00775990">
      <w:pPr>
        <w:widowControl w:val="0"/>
        <w:spacing w:before="120"/>
        <w:ind w:firstLine="567"/>
        <w:jc w:val="both"/>
        <w:rPr>
          <w:color w:val="000000"/>
          <w:sz w:val="24"/>
          <w:szCs w:val="24"/>
        </w:rPr>
      </w:pPr>
      <w:r>
        <w:rPr>
          <w:color w:val="000000"/>
          <w:sz w:val="24"/>
          <w:szCs w:val="24"/>
        </w:rPr>
        <w:t xml:space="preserve">Проект подводных лодок типа "Морж" водоизмещением 600 тонн был разработан в 1909 году и получил одобрение Морского технического комитета и Морского генерального штаба (МГШ). В декабре 1909 года было принято решение о заказе Балтийскому заводу двух лодок типа "Морж", но средств на постройку не было выделено. Только весной 1911 года была утверждена программа усиления Черноморского флота, к этому же времени первоначальный проект был доработан с учетом замечаний Морского технического комитета, при этом водоизмещение подводной лодки возросло до 630 т. </w:t>
      </w:r>
    </w:p>
    <w:p w:rsidR="00B303BF" w:rsidRDefault="00775990">
      <w:pPr>
        <w:widowControl w:val="0"/>
        <w:spacing w:before="120"/>
        <w:ind w:firstLine="567"/>
        <w:jc w:val="both"/>
        <w:rPr>
          <w:color w:val="000000"/>
          <w:sz w:val="24"/>
          <w:szCs w:val="24"/>
        </w:rPr>
      </w:pPr>
      <w:r>
        <w:rPr>
          <w:color w:val="000000"/>
          <w:sz w:val="24"/>
          <w:szCs w:val="24"/>
        </w:rPr>
        <w:t xml:space="preserve">Прототипом подводной лодки типа "Морж" была подводная лодка "Акула". Цистерны главного балласта размещались в оконечностях, имелись внутренние балластные средние и топливные цистерны, а также палубные балластные цистерны. В носу и корме прочный корпус оканчивался сферическими переборками. Двигатели Дизеля, заказанные заводу Круппа, так и не были поставлены, поэтому для подводных лодок типа "Морж" пришлось использовать 250-сильные двигатели Дизеля с канонерских лодок на Амуре. </w:t>
      </w:r>
    </w:p>
    <w:p w:rsidR="00B303BF" w:rsidRDefault="00775990">
      <w:pPr>
        <w:widowControl w:val="0"/>
        <w:spacing w:before="120"/>
        <w:ind w:firstLine="567"/>
        <w:jc w:val="both"/>
        <w:rPr>
          <w:color w:val="000000"/>
          <w:sz w:val="24"/>
          <w:szCs w:val="24"/>
        </w:rPr>
      </w:pPr>
      <w:r>
        <w:rPr>
          <w:color w:val="000000"/>
          <w:sz w:val="24"/>
          <w:szCs w:val="24"/>
        </w:rPr>
        <w:t xml:space="preserve">В марте 1911 года начались поиски места для организации отделения Балтийского завода на Черном море. После обсуждения различных вариантов остановились на Николаевском адмиралтействе, территория которого полностью не использовалась. Для выбора места в Николаев ездил заведующий отделом подводного плавания Балтийского завода Г.Г. Бубнов (брат И.Г. Бубнова). Николаевское отделение Балтийского завода разместили на берегу реки Ингул, недалеко от Земского моста. На этом участке находились старые деревянные стапели, которые и приспособили для постройки лодок. Рядом разместилось отделение Невского завода. </w:t>
      </w:r>
    </w:p>
    <w:p w:rsidR="00B303BF" w:rsidRDefault="00775990">
      <w:pPr>
        <w:widowControl w:val="0"/>
        <w:spacing w:before="120"/>
        <w:ind w:firstLine="567"/>
        <w:jc w:val="both"/>
        <w:rPr>
          <w:color w:val="000000"/>
          <w:sz w:val="24"/>
          <w:szCs w:val="24"/>
        </w:rPr>
      </w:pPr>
      <w:r>
        <w:rPr>
          <w:color w:val="000000"/>
          <w:sz w:val="24"/>
          <w:szCs w:val="24"/>
        </w:rPr>
        <w:t xml:space="preserve">Строительство всех подводных лодок типа "Морж" началось 25 июня 1911 года, часть деталей корпуса и оборудования изготавливалась на Балтийском заводе в Петербурге и высылалась в Николаев для окончательной сборки. </w:t>
      </w:r>
    </w:p>
    <w:p w:rsidR="00B303BF" w:rsidRDefault="00775990">
      <w:pPr>
        <w:widowControl w:val="0"/>
        <w:spacing w:before="120"/>
        <w:jc w:val="center"/>
        <w:rPr>
          <w:b/>
          <w:bCs/>
          <w:color w:val="000000"/>
          <w:sz w:val="28"/>
          <w:szCs w:val="28"/>
        </w:rPr>
      </w:pPr>
      <w:r>
        <w:rPr>
          <w:b/>
          <w:bCs/>
          <w:color w:val="000000"/>
          <w:sz w:val="28"/>
          <w:szCs w:val="28"/>
        </w:rPr>
        <w:t>***</w:t>
      </w:r>
    </w:p>
    <w:p w:rsidR="00B303BF" w:rsidRDefault="00775990">
      <w:pPr>
        <w:widowControl w:val="0"/>
        <w:spacing w:before="120"/>
        <w:jc w:val="center"/>
        <w:rPr>
          <w:b/>
          <w:bCs/>
          <w:color w:val="000000"/>
          <w:sz w:val="28"/>
          <w:szCs w:val="28"/>
        </w:rPr>
      </w:pPr>
      <w:r>
        <w:rPr>
          <w:b/>
          <w:bCs/>
          <w:color w:val="000000"/>
          <w:sz w:val="28"/>
          <w:szCs w:val="28"/>
        </w:rPr>
        <w:t>"Морж"</w:t>
      </w:r>
    </w:p>
    <w:p w:rsidR="00B303BF" w:rsidRDefault="00775990">
      <w:pPr>
        <w:widowControl w:val="0"/>
        <w:spacing w:before="120"/>
        <w:ind w:firstLine="567"/>
        <w:jc w:val="both"/>
        <w:rPr>
          <w:color w:val="000000"/>
          <w:sz w:val="24"/>
          <w:szCs w:val="24"/>
        </w:rPr>
      </w:pPr>
      <w:r>
        <w:rPr>
          <w:color w:val="000000"/>
          <w:sz w:val="24"/>
          <w:szCs w:val="24"/>
        </w:rPr>
        <w:t xml:space="preserve">Закладка подводной лодки "Морж" состоялась 16 августа 1913 года, спуск на воду - 15 сентября 1913 года; в марте 1915 года установили двигатели Дизеля, испытания закончились 30 апреля 1915 года. </w:t>
      </w:r>
    </w:p>
    <w:p w:rsidR="00B303BF" w:rsidRDefault="00775990">
      <w:pPr>
        <w:widowControl w:val="0"/>
        <w:spacing w:before="120"/>
        <w:ind w:firstLine="567"/>
        <w:jc w:val="both"/>
        <w:rPr>
          <w:color w:val="000000"/>
          <w:sz w:val="24"/>
          <w:szCs w:val="24"/>
        </w:rPr>
      </w:pPr>
      <w:r>
        <w:rPr>
          <w:color w:val="000000"/>
          <w:sz w:val="24"/>
          <w:szCs w:val="24"/>
        </w:rPr>
        <w:t xml:space="preserve">Участвовала в 1-й мировой войне на Черном море. Уничтожила пароход "Дубровник" (ранее торпедированный подводной лодкой "Тюлень"), захватила и уничтожила 3 больших парусных судна и 5 малых парусников. В 1915 г. на подводной лодке "Морж" проводились испытания подводной сигнализации, предложенной инженером Р. Ниренбергом. В 1917 году не вернулась из боевого похода, возможно подорвалась на минном заграждении у Босфора. </w:t>
      </w:r>
    </w:p>
    <w:p w:rsidR="00B303BF" w:rsidRDefault="00775990">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03BF">
        <w:tc>
          <w:tcPr>
            <w:tcW w:w="4927" w:type="dxa"/>
          </w:tcPr>
          <w:p w:rsidR="00B303BF" w:rsidRDefault="00775990">
            <w:pPr>
              <w:widowControl w:val="0"/>
              <w:spacing w:before="120"/>
              <w:jc w:val="both"/>
              <w:rPr>
                <w:color w:val="000000"/>
                <w:sz w:val="24"/>
                <w:szCs w:val="24"/>
              </w:rPr>
            </w:pPr>
            <w:r>
              <w:rPr>
                <w:color w:val="000000"/>
                <w:sz w:val="24"/>
                <w:szCs w:val="24"/>
              </w:rPr>
              <w:t>Длина, м</w:t>
            </w:r>
          </w:p>
        </w:tc>
        <w:tc>
          <w:tcPr>
            <w:tcW w:w="4927" w:type="dxa"/>
          </w:tcPr>
          <w:p w:rsidR="00B303BF" w:rsidRDefault="00775990">
            <w:pPr>
              <w:widowControl w:val="0"/>
              <w:spacing w:before="120"/>
              <w:jc w:val="both"/>
              <w:rPr>
                <w:color w:val="000000"/>
                <w:sz w:val="24"/>
                <w:szCs w:val="24"/>
              </w:rPr>
            </w:pPr>
            <w:r>
              <w:rPr>
                <w:color w:val="000000"/>
                <w:sz w:val="24"/>
                <w:szCs w:val="24"/>
              </w:rPr>
              <w:t>67</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Ширина, м</w:t>
            </w:r>
          </w:p>
        </w:tc>
        <w:tc>
          <w:tcPr>
            <w:tcW w:w="4927" w:type="dxa"/>
          </w:tcPr>
          <w:p w:rsidR="00B303BF" w:rsidRDefault="00775990">
            <w:pPr>
              <w:widowControl w:val="0"/>
              <w:spacing w:before="120"/>
              <w:jc w:val="both"/>
              <w:rPr>
                <w:color w:val="000000"/>
                <w:sz w:val="24"/>
                <w:szCs w:val="24"/>
              </w:rPr>
            </w:pPr>
            <w:r>
              <w:rPr>
                <w:color w:val="000000"/>
                <w:sz w:val="24"/>
                <w:szCs w:val="24"/>
              </w:rPr>
              <w:t>4,47</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Осадка, м</w:t>
            </w:r>
          </w:p>
        </w:tc>
        <w:tc>
          <w:tcPr>
            <w:tcW w:w="4927" w:type="dxa"/>
          </w:tcPr>
          <w:p w:rsidR="00B303BF" w:rsidRDefault="00775990">
            <w:pPr>
              <w:widowControl w:val="0"/>
              <w:spacing w:before="120"/>
              <w:jc w:val="both"/>
              <w:rPr>
                <w:color w:val="000000"/>
                <w:sz w:val="24"/>
                <w:szCs w:val="24"/>
              </w:rPr>
            </w:pPr>
            <w:r>
              <w:rPr>
                <w:color w:val="000000"/>
                <w:sz w:val="24"/>
                <w:szCs w:val="24"/>
              </w:rPr>
              <w:t>3,91</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B303BF" w:rsidRDefault="00775990">
            <w:pPr>
              <w:widowControl w:val="0"/>
              <w:spacing w:before="120"/>
              <w:jc w:val="both"/>
              <w:rPr>
                <w:color w:val="000000"/>
                <w:sz w:val="24"/>
                <w:szCs w:val="24"/>
              </w:rPr>
            </w:pPr>
            <w:r>
              <w:rPr>
                <w:color w:val="000000"/>
                <w:sz w:val="24"/>
                <w:szCs w:val="24"/>
              </w:rPr>
              <w:t xml:space="preserve">630 / 758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B303BF" w:rsidRDefault="00775990">
            <w:pPr>
              <w:widowControl w:val="0"/>
              <w:spacing w:before="120"/>
              <w:jc w:val="both"/>
              <w:rPr>
                <w:color w:val="000000"/>
                <w:sz w:val="24"/>
                <w:szCs w:val="24"/>
              </w:rPr>
            </w:pPr>
            <w:r>
              <w:rPr>
                <w:color w:val="000000"/>
                <w:sz w:val="24"/>
                <w:szCs w:val="24"/>
              </w:rPr>
              <w:t xml:space="preserve">2х250 / 2х450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B303BF" w:rsidRDefault="00775990">
            <w:pPr>
              <w:widowControl w:val="0"/>
              <w:spacing w:before="120"/>
              <w:jc w:val="both"/>
              <w:rPr>
                <w:color w:val="000000"/>
                <w:sz w:val="24"/>
                <w:szCs w:val="24"/>
              </w:rPr>
            </w:pPr>
            <w:r>
              <w:rPr>
                <w:color w:val="000000"/>
                <w:sz w:val="24"/>
                <w:szCs w:val="24"/>
              </w:rPr>
              <w:t xml:space="preserve">12 / 8,5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B303BF" w:rsidRDefault="00775990">
            <w:pPr>
              <w:widowControl w:val="0"/>
              <w:spacing w:before="120"/>
              <w:jc w:val="both"/>
              <w:rPr>
                <w:color w:val="000000"/>
                <w:sz w:val="24"/>
                <w:szCs w:val="24"/>
              </w:rPr>
            </w:pPr>
            <w:r>
              <w:rPr>
                <w:color w:val="000000"/>
                <w:sz w:val="24"/>
                <w:szCs w:val="24"/>
              </w:rPr>
              <w:t xml:space="preserve">2500 / 28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Глубина погружения, м</w:t>
            </w:r>
          </w:p>
        </w:tc>
        <w:tc>
          <w:tcPr>
            <w:tcW w:w="4927" w:type="dxa"/>
          </w:tcPr>
          <w:p w:rsidR="00B303BF" w:rsidRDefault="00775990">
            <w:pPr>
              <w:widowControl w:val="0"/>
              <w:spacing w:before="120"/>
              <w:jc w:val="both"/>
              <w:rPr>
                <w:color w:val="000000"/>
                <w:sz w:val="24"/>
                <w:szCs w:val="24"/>
              </w:rPr>
            </w:pPr>
            <w:r>
              <w:rPr>
                <w:color w:val="000000"/>
                <w:sz w:val="24"/>
                <w:szCs w:val="24"/>
              </w:rPr>
              <w:t>50</w:t>
            </w:r>
          </w:p>
        </w:tc>
      </w:tr>
    </w:tbl>
    <w:p w:rsidR="00B303BF" w:rsidRDefault="00775990">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B303BF">
        <w:tc>
          <w:tcPr>
            <w:tcW w:w="4927" w:type="dxa"/>
          </w:tcPr>
          <w:p w:rsidR="00B303BF" w:rsidRDefault="00775990">
            <w:pPr>
              <w:widowControl w:val="0"/>
              <w:spacing w:before="120"/>
              <w:jc w:val="both"/>
              <w:rPr>
                <w:color w:val="000000"/>
                <w:sz w:val="24"/>
                <w:szCs w:val="24"/>
              </w:rPr>
            </w:pPr>
            <w:r>
              <w:rPr>
                <w:color w:val="000000"/>
                <w:sz w:val="24"/>
                <w:szCs w:val="24"/>
              </w:rPr>
              <w:t>47 мм артиллерийское орудие</w:t>
            </w:r>
          </w:p>
        </w:tc>
        <w:tc>
          <w:tcPr>
            <w:tcW w:w="4927" w:type="dxa"/>
          </w:tcPr>
          <w:p w:rsidR="00B303BF" w:rsidRDefault="00775990">
            <w:pPr>
              <w:widowControl w:val="0"/>
              <w:spacing w:before="120"/>
              <w:jc w:val="both"/>
              <w:rPr>
                <w:color w:val="000000"/>
                <w:sz w:val="24"/>
                <w:szCs w:val="24"/>
              </w:rPr>
            </w:pPr>
            <w:r>
              <w:rPr>
                <w:color w:val="000000"/>
                <w:sz w:val="24"/>
                <w:szCs w:val="24"/>
              </w:rPr>
              <w:t>1</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57 мм артиллерийское орудие</w:t>
            </w:r>
          </w:p>
        </w:tc>
        <w:tc>
          <w:tcPr>
            <w:tcW w:w="4927" w:type="dxa"/>
          </w:tcPr>
          <w:p w:rsidR="00B303BF" w:rsidRDefault="00775990">
            <w:pPr>
              <w:widowControl w:val="0"/>
              <w:spacing w:before="120"/>
              <w:jc w:val="both"/>
              <w:rPr>
                <w:color w:val="000000"/>
                <w:sz w:val="24"/>
                <w:szCs w:val="24"/>
              </w:rPr>
            </w:pPr>
            <w:r>
              <w:rPr>
                <w:color w:val="000000"/>
                <w:sz w:val="24"/>
                <w:szCs w:val="24"/>
              </w:rPr>
              <w:t>1</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Торпеды в трубчатых торпедных аппаратах (2 носовых, 2 кормовых)</w:t>
            </w:r>
          </w:p>
        </w:tc>
        <w:tc>
          <w:tcPr>
            <w:tcW w:w="4927" w:type="dxa"/>
          </w:tcPr>
          <w:p w:rsidR="00B303BF" w:rsidRDefault="00775990">
            <w:pPr>
              <w:widowControl w:val="0"/>
              <w:spacing w:before="120"/>
              <w:jc w:val="both"/>
              <w:rPr>
                <w:color w:val="000000"/>
                <w:sz w:val="24"/>
                <w:szCs w:val="24"/>
              </w:rPr>
            </w:pPr>
            <w:r>
              <w:rPr>
                <w:color w:val="000000"/>
                <w:sz w:val="24"/>
                <w:szCs w:val="24"/>
              </w:rPr>
              <w:t>4</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Торпеды в наружных решетчатых аппаратах Джевецкого</w:t>
            </w:r>
          </w:p>
        </w:tc>
        <w:tc>
          <w:tcPr>
            <w:tcW w:w="4927" w:type="dxa"/>
          </w:tcPr>
          <w:p w:rsidR="00B303BF" w:rsidRDefault="00775990">
            <w:pPr>
              <w:widowControl w:val="0"/>
              <w:spacing w:before="120"/>
              <w:jc w:val="both"/>
              <w:rPr>
                <w:color w:val="000000"/>
                <w:sz w:val="24"/>
                <w:szCs w:val="24"/>
              </w:rPr>
            </w:pPr>
            <w:r>
              <w:rPr>
                <w:color w:val="000000"/>
                <w:sz w:val="24"/>
                <w:szCs w:val="24"/>
              </w:rPr>
              <w:t>8</w:t>
            </w:r>
          </w:p>
        </w:tc>
      </w:tr>
    </w:tbl>
    <w:p w:rsidR="00B303BF" w:rsidRDefault="00775990">
      <w:pPr>
        <w:widowControl w:val="0"/>
        <w:spacing w:before="120"/>
        <w:jc w:val="center"/>
        <w:rPr>
          <w:b/>
          <w:bCs/>
          <w:color w:val="000000"/>
          <w:sz w:val="28"/>
          <w:szCs w:val="28"/>
        </w:rPr>
      </w:pPr>
      <w:r>
        <w:rPr>
          <w:b/>
          <w:bCs/>
          <w:color w:val="000000"/>
          <w:sz w:val="28"/>
          <w:szCs w:val="28"/>
        </w:rPr>
        <w:t>***</w:t>
      </w:r>
    </w:p>
    <w:p w:rsidR="00B303BF" w:rsidRDefault="00775990">
      <w:pPr>
        <w:widowControl w:val="0"/>
        <w:spacing w:before="120"/>
        <w:jc w:val="center"/>
        <w:rPr>
          <w:b/>
          <w:bCs/>
          <w:color w:val="000000"/>
          <w:sz w:val="28"/>
          <w:szCs w:val="28"/>
        </w:rPr>
      </w:pPr>
      <w:r>
        <w:rPr>
          <w:b/>
          <w:bCs/>
          <w:color w:val="000000"/>
          <w:sz w:val="28"/>
          <w:szCs w:val="28"/>
        </w:rPr>
        <w:t>"Нерпа"</w:t>
      </w:r>
    </w:p>
    <w:p w:rsidR="00B303BF" w:rsidRDefault="00775990">
      <w:pPr>
        <w:widowControl w:val="0"/>
        <w:spacing w:before="120"/>
        <w:ind w:firstLine="567"/>
        <w:jc w:val="both"/>
        <w:rPr>
          <w:color w:val="000000"/>
          <w:sz w:val="24"/>
          <w:szCs w:val="24"/>
        </w:rPr>
      </w:pPr>
      <w:r>
        <w:rPr>
          <w:color w:val="000000"/>
          <w:sz w:val="24"/>
          <w:szCs w:val="24"/>
        </w:rPr>
        <w:t>Тип "Морж"</w:t>
      </w:r>
      <w:r>
        <w:rPr>
          <w:color w:val="000000"/>
          <w:sz w:val="24"/>
          <w:szCs w:val="24"/>
        </w:rPr>
        <w:tab/>
        <w:t xml:space="preserve">Заложена и спущена на воду 15 августа 1913 года, в ноябре 1914 года установлены двигатели Дизеля, испытания закончены 30 декабря 1914 года. </w:t>
      </w:r>
    </w:p>
    <w:p w:rsidR="00B303BF" w:rsidRDefault="00775990">
      <w:pPr>
        <w:widowControl w:val="0"/>
        <w:spacing w:before="120"/>
        <w:ind w:firstLine="567"/>
        <w:jc w:val="both"/>
        <w:rPr>
          <w:color w:val="000000"/>
          <w:sz w:val="24"/>
          <w:szCs w:val="24"/>
        </w:rPr>
      </w:pPr>
      <w:r>
        <w:rPr>
          <w:color w:val="000000"/>
          <w:sz w:val="24"/>
          <w:szCs w:val="24"/>
        </w:rPr>
        <w:t xml:space="preserve">Участвовала в 1-й мировой войне. На Черном море захватила или потопила один небольшой пароход и 8 парусников. </w:t>
      </w:r>
    </w:p>
    <w:p w:rsidR="00B303BF" w:rsidRDefault="00775990">
      <w:pPr>
        <w:widowControl w:val="0"/>
        <w:spacing w:before="120"/>
        <w:ind w:firstLine="567"/>
        <w:jc w:val="both"/>
        <w:rPr>
          <w:color w:val="000000"/>
          <w:sz w:val="24"/>
          <w:szCs w:val="24"/>
        </w:rPr>
      </w:pPr>
      <w:r>
        <w:rPr>
          <w:color w:val="000000"/>
          <w:sz w:val="24"/>
          <w:szCs w:val="24"/>
        </w:rPr>
        <w:t>В 1917 году встала на капитальный ремонт в Николаеве, 26 мая 1922 года вступила в строй Морских сил Черного моря. 1 октября 1921 г. переименована в подводную лодку № 20.</w:t>
      </w:r>
    </w:p>
    <w:p w:rsidR="00B303BF" w:rsidRDefault="00775990">
      <w:pPr>
        <w:widowControl w:val="0"/>
        <w:spacing w:before="120"/>
        <w:ind w:firstLine="567"/>
        <w:jc w:val="both"/>
        <w:rPr>
          <w:color w:val="000000"/>
          <w:sz w:val="24"/>
          <w:szCs w:val="24"/>
        </w:rPr>
      </w:pPr>
      <w:r>
        <w:rPr>
          <w:color w:val="000000"/>
          <w:sz w:val="24"/>
          <w:szCs w:val="24"/>
        </w:rPr>
        <w:t>31 декабря 1922 г. присвоено название "Политрук", в 1925-1926 годах вновь капитально отремонтирована, 3 ноября 1929 года исключена из боевого состава, 3 декабря 1930 года сдана в порт на хранение и в 1931 году разобрана на металлолом.</w:t>
      </w:r>
    </w:p>
    <w:p w:rsidR="00B303BF" w:rsidRDefault="00775990">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03BF">
        <w:tc>
          <w:tcPr>
            <w:tcW w:w="4927" w:type="dxa"/>
          </w:tcPr>
          <w:p w:rsidR="00B303BF" w:rsidRDefault="00775990">
            <w:pPr>
              <w:widowControl w:val="0"/>
              <w:spacing w:before="120"/>
              <w:jc w:val="both"/>
              <w:rPr>
                <w:color w:val="000000"/>
                <w:sz w:val="24"/>
                <w:szCs w:val="24"/>
              </w:rPr>
            </w:pPr>
            <w:r>
              <w:rPr>
                <w:color w:val="000000"/>
                <w:sz w:val="24"/>
                <w:szCs w:val="24"/>
              </w:rPr>
              <w:t>Длина, м</w:t>
            </w:r>
          </w:p>
        </w:tc>
        <w:tc>
          <w:tcPr>
            <w:tcW w:w="4927" w:type="dxa"/>
          </w:tcPr>
          <w:p w:rsidR="00B303BF" w:rsidRDefault="00775990">
            <w:pPr>
              <w:widowControl w:val="0"/>
              <w:spacing w:before="120"/>
              <w:jc w:val="both"/>
              <w:rPr>
                <w:color w:val="000000"/>
                <w:sz w:val="24"/>
                <w:szCs w:val="24"/>
              </w:rPr>
            </w:pPr>
            <w:r>
              <w:rPr>
                <w:color w:val="000000"/>
                <w:sz w:val="24"/>
                <w:szCs w:val="24"/>
              </w:rPr>
              <w:t>67</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Ширина, м</w:t>
            </w:r>
          </w:p>
        </w:tc>
        <w:tc>
          <w:tcPr>
            <w:tcW w:w="4927" w:type="dxa"/>
          </w:tcPr>
          <w:p w:rsidR="00B303BF" w:rsidRDefault="00775990">
            <w:pPr>
              <w:widowControl w:val="0"/>
              <w:spacing w:before="120"/>
              <w:jc w:val="both"/>
              <w:rPr>
                <w:color w:val="000000"/>
                <w:sz w:val="24"/>
                <w:szCs w:val="24"/>
              </w:rPr>
            </w:pPr>
            <w:r>
              <w:rPr>
                <w:color w:val="000000"/>
                <w:sz w:val="24"/>
                <w:szCs w:val="24"/>
              </w:rPr>
              <w:t>4,47</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Осадка, м</w:t>
            </w:r>
          </w:p>
        </w:tc>
        <w:tc>
          <w:tcPr>
            <w:tcW w:w="4927" w:type="dxa"/>
          </w:tcPr>
          <w:p w:rsidR="00B303BF" w:rsidRDefault="00775990">
            <w:pPr>
              <w:widowControl w:val="0"/>
              <w:spacing w:before="120"/>
              <w:jc w:val="both"/>
              <w:rPr>
                <w:color w:val="000000"/>
                <w:sz w:val="24"/>
                <w:szCs w:val="24"/>
              </w:rPr>
            </w:pPr>
            <w:r>
              <w:rPr>
                <w:color w:val="000000"/>
                <w:sz w:val="24"/>
                <w:szCs w:val="24"/>
              </w:rPr>
              <w:t>3,91</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B303BF" w:rsidRDefault="00775990">
            <w:pPr>
              <w:widowControl w:val="0"/>
              <w:spacing w:before="120"/>
              <w:jc w:val="both"/>
              <w:rPr>
                <w:color w:val="000000"/>
                <w:sz w:val="24"/>
                <w:szCs w:val="24"/>
              </w:rPr>
            </w:pPr>
            <w:r>
              <w:rPr>
                <w:color w:val="000000"/>
                <w:sz w:val="24"/>
                <w:szCs w:val="24"/>
              </w:rPr>
              <w:t xml:space="preserve">630 / 758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B303BF" w:rsidRDefault="00775990">
            <w:pPr>
              <w:widowControl w:val="0"/>
              <w:spacing w:before="120"/>
              <w:jc w:val="both"/>
              <w:rPr>
                <w:color w:val="000000"/>
                <w:sz w:val="24"/>
                <w:szCs w:val="24"/>
              </w:rPr>
            </w:pPr>
            <w:r>
              <w:rPr>
                <w:color w:val="000000"/>
                <w:sz w:val="24"/>
                <w:szCs w:val="24"/>
              </w:rPr>
              <w:t xml:space="preserve">2х250 / 2х450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B303BF" w:rsidRDefault="00775990">
            <w:pPr>
              <w:widowControl w:val="0"/>
              <w:spacing w:before="120"/>
              <w:jc w:val="both"/>
              <w:rPr>
                <w:color w:val="000000"/>
                <w:sz w:val="24"/>
                <w:szCs w:val="24"/>
              </w:rPr>
            </w:pPr>
            <w:r>
              <w:rPr>
                <w:color w:val="000000"/>
                <w:sz w:val="24"/>
                <w:szCs w:val="24"/>
              </w:rPr>
              <w:t xml:space="preserve">12 / 8,5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B303BF" w:rsidRDefault="00775990">
            <w:pPr>
              <w:widowControl w:val="0"/>
              <w:spacing w:before="120"/>
              <w:jc w:val="both"/>
              <w:rPr>
                <w:color w:val="000000"/>
                <w:sz w:val="24"/>
                <w:szCs w:val="24"/>
              </w:rPr>
            </w:pPr>
            <w:r>
              <w:rPr>
                <w:color w:val="000000"/>
                <w:sz w:val="24"/>
                <w:szCs w:val="24"/>
              </w:rPr>
              <w:t xml:space="preserve">2500 / 28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Глубина погружения, м</w:t>
            </w:r>
          </w:p>
        </w:tc>
        <w:tc>
          <w:tcPr>
            <w:tcW w:w="4927" w:type="dxa"/>
          </w:tcPr>
          <w:p w:rsidR="00B303BF" w:rsidRDefault="00775990">
            <w:pPr>
              <w:widowControl w:val="0"/>
              <w:spacing w:before="120"/>
              <w:jc w:val="both"/>
              <w:rPr>
                <w:color w:val="000000"/>
                <w:sz w:val="24"/>
                <w:szCs w:val="24"/>
              </w:rPr>
            </w:pPr>
            <w:r>
              <w:rPr>
                <w:color w:val="000000"/>
                <w:sz w:val="24"/>
                <w:szCs w:val="24"/>
              </w:rPr>
              <w:t>50</w:t>
            </w:r>
          </w:p>
        </w:tc>
      </w:tr>
    </w:tbl>
    <w:p w:rsidR="00B303BF" w:rsidRDefault="00775990">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B303BF">
        <w:tc>
          <w:tcPr>
            <w:tcW w:w="4927" w:type="dxa"/>
          </w:tcPr>
          <w:p w:rsidR="00B303BF" w:rsidRDefault="00775990">
            <w:pPr>
              <w:widowControl w:val="0"/>
              <w:spacing w:before="120"/>
              <w:jc w:val="both"/>
              <w:rPr>
                <w:color w:val="000000"/>
                <w:sz w:val="24"/>
                <w:szCs w:val="24"/>
              </w:rPr>
            </w:pPr>
            <w:r>
              <w:rPr>
                <w:color w:val="000000"/>
                <w:sz w:val="24"/>
                <w:szCs w:val="24"/>
              </w:rPr>
              <w:t>47 мм артиллерийское орудие</w:t>
            </w:r>
          </w:p>
        </w:tc>
        <w:tc>
          <w:tcPr>
            <w:tcW w:w="4927" w:type="dxa"/>
          </w:tcPr>
          <w:p w:rsidR="00B303BF" w:rsidRDefault="00775990">
            <w:pPr>
              <w:widowControl w:val="0"/>
              <w:spacing w:before="120"/>
              <w:jc w:val="both"/>
              <w:rPr>
                <w:color w:val="000000"/>
                <w:sz w:val="24"/>
                <w:szCs w:val="24"/>
              </w:rPr>
            </w:pPr>
            <w:r>
              <w:rPr>
                <w:color w:val="000000"/>
                <w:sz w:val="24"/>
                <w:szCs w:val="24"/>
              </w:rPr>
              <w:t>1</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57 мм артиллерийское орудие</w:t>
            </w:r>
          </w:p>
        </w:tc>
        <w:tc>
          <w:tcPr>
            <w:tcW w:w="4927" w:type="dxa"/>
          </w:tcPr>
          <w:p w:rsidR="00B303BF" w:rsidRDefault="00775990">
            <w:pPr>
              <w:widowControl w:val="0"/>
              <w:spacing w:before="120"/>
              <w:jc w:val="both"/>
              <w:rPr>
                <w:color w:val="000000"/>
                <w:sz w:val="24"/>
                <w:szCs w:val="24"/>
              </w:rPr>
            </w:pPr>
            <w:r>
              <w:rPr>
                <w:color w:val="000000"/>
                <w:sz w:val="24"/>
                <w:szCs w:val="24"/>
              </w:rPr>
              <w:t>1</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Торпеды в трубчатых торпедных аппаратах (2 носовых, 2 кормовых)</w:t>
            </w:r>
          </w:p>
        </w:tc>
        <w:tc>
          <w:tcPr>
            <w:tcW w:w="4927" w:type="dxa"/>
          </w:tcPr>
          <w:p w:rsidR="00B303BF" w:rsidRDefault="00775990">
            <w:pPr>
              <w:widowControl w:val="0"/>
              <w:spacing w:before="120"/>
              <w:jc w:val="both"/>
              <w:rPr>
                <w:color w:val="000000"/>
                <w:sz w:val="24"/>
                <w:szCs w:val="24"/>
              </w:rPr>
            </w:pPr>
            <w:r>
              <w:rPr>
                <w:color w:val="000000"/>
                <w:sz w:val="24"/>
                <w:szCs w:val="24"/>
              </w:rPr>
              <w:t>4</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Торпеды в наружных решетчатых аппаратах Джевецкого</w:t>
            </w:r>
          </w:p>
        </w:tc>
        <w:tc>
          <w:tcPr>
            <w:tcW w:w="4927" w:type="dxa"/>
          </w:tcPr>
          <w:p w:rsidR="00B303BF" w:rsidRDefault="00775990">
            <w:pPr>
              <w:widowControl w:val="0"/>
              <w:spacing w:before="120"/>
              <w:jc w:val="both"/>
              <w:rPr>
                <w:color w:val="000000"/>
                <w:sz w:val="24"/>
                <w:szCs w:val="24"/>
              </w:rPr>
            </w:pPr>
            <w:r>
              <w:rPr>
                <w:color w:val="000000"/>
                <w:sz w:val="24"/>
                <w:szCs w:val="24"/>
              </w:rPr>
              <w:t>8</w:t>
            </w:r>
          </w:p>
        </w:tc>
      </w:tr>
    </w:tbl>
    <w:p w:rsidR="00B303BF" w:rsidRDefault="00775990">
      <w:pPr>
        <w:widowControl w:val="0"/>
        <w:spacing w:before="120"/>
        <w:jc w:val="center"/>
        <w:rPr>
          <w:b/>
          <w:bCs/>
          <w:color w:val="000000"/>
          <w:sz w:val="28"/>
          <w:szCs w:val="28"/>
        </w:rPr>
      </w:pPr>
      <w:r>
        <w:rPr>
          <w:b/>
          <w:bCs/>
          <w:color w:val="000000"/>
          <w:sz w:val="28"/>
          <w:szCs w:val="28"/>
        </w:rPr>
        <w:t>***</w:t>
      </w:r>
    </w:p>
    <w:p w:rsidR="00B303BF" w:rsidRDefault="00775990">
      <w:pPr>
        <w:widowControl w:val="0"/>
        <w:spacing w:before="120"/>
        <w:jc w:val="center"/>
        <w:rPr>
          <w:b/>
          <w:bCs/>
          <w:color w:val="000000"/>
          <w:sz w:val="28"/>
          <w:szCs w:val="28"/>
        </w:rPr>
      </w:pPr>
      <w:r>
        <w:rPr>
          <w:b/>
          <w:bCs/>
          <w:color w:val="000000"/>
          <w:sz w:val="28"/>
          <w:szCs w:val="28"/>
        </w:rPr>
        <w:t>"Тюлень"</w:t>
      </w:r>
    </w:p>
    <w:p w:rsidR="00B303BF" w:rsidRDefault="00775990">
      <w:pPr>
        <w:widowControl w:val="0"/>
        <w:spacing w:before="120"/>
        <w:ind w:firstLine="567"/>
        <w:jc w:val="both"/>
        <w:rPr>
          <w:color w:val="000000"/>
          <w:sz w:val="24"/>
          <w:szCs w:val="24"/>
        </w:rPr>
      </w:pPr>
      <w:r>
        <w:rPr>
          <w:color w:val="000000"/>
          <w:sz w:val="24"/>
          <w:szCs w:val="24"/>
        </w:rPr>
        <w:t xml:space="preserve">Заложена 16 августа 1913 года, спущена на воду 19 октября 1913 года, двигатели Дизеля и аккумуляторная батарея установлены в январе 1915 года, испытания закончились 19 марта 1915 года. </w:t>
      </w:r>
    </w:p>
    <w:p w:rsidR="00B303BF" w:rsidRDefault="00775990">
      <w:pPr>
        <w:widowControl w:val="0"/>
        <w:spacing w:before="120"/>
        <w:ind w:firstLine="567"/>
        <w:jc w:val="both"/>
        <w:rPr>
          <w:color w:val="000000"/>
          <w:sz w:val="24"/>
          <w:szCs w:val="24"/>
        </w:rPr>
      </w:pPr>
      <w:r>
        <w:rPr>
          <w:color w:val="000000"/>
          <w:sz w:val="24"/>
          <w:szCs w:val="24"/>
        </w:rPr>
        <w:t xml:space="preserve">Участвовала в 1-й мировой войне на Черном море, была одной из наиболее удачливых русских подводных лодок, что в немалой степени является заслугой ее командира, капитана 2-го ранга М.А. Китицына. Захватила или потопила: </w:t>
      </w:r>
    </w:p>
    <w:p w:rsidR="00B303BF" w:rsidRDefault="00775990">
      <w:pPr>
        <w:widowControl w:val="0"/>
        <w:spacing w:before="120"/>
        <w:ind w:firstLine="567"/>
        <w:jc w:val="both"/>
        <w:rPr>
          <w:color w:val="000000"/>
          <w:sz w:val="24"/>
          <w:szCs w:val="24"/>
        </w:rPr>
      </w:pPr>
      <w:r>
        <w:rPr>
          <w:color w:val="000000"/>
          <w:sz w:val="24"/>
          <w:szCs w:val="24"/>
        </w:rPr>
        <w:t xml:space="preserve">- в 1915 году 5 парусников; </w:t>
      </w:r>
    </w:p>
    <w:p w:rsidR="00B303BF" w:rsidRDefault="00775990">
      <w:pPr>
        <w:widowControl w:val="0"/>
        <w:spacing w:before="120"/>
        <w:ind w:firstLine="567"/>
        <w:jc w:val="both"/>
        <w:rPr>
          <w:color w:val="000000"/>
          <w:sz w:val="24"/>
          <w:szCs w:val="24"/>
        </w:rPr>
      </w:pPr>
      <w:r>
        <w:rPr>
          <w:color w:val="000000"/>
          <w:sz w:val="24"/>
          <w:szCs w:val="24"/>
        </w:rPr>
        <w:t xml:space="preserve">- в 1916 году - 21 парусник и 3 парохода, в том числе хорошо вооруженный военный транспорт "Родосто" (6000 т), приведя его, несмотря на возникший пожар, в качестве приза в Севастополь; </w:t>
      </w:r>
    </w:p>
    <w:p w:rsidR="00B303BF" w:rsidRDefault="00775990">
      <w:pPr>
        <w:widowControl w:val="0"/>
        <w:spacing w:before="120"/>
        <w:ind w:firstLine="567"/>
        <w:jc w:val="both"/>
        <w:rPr>
          <w:color w:val="000000"/>
          <w:sz w:val="24"/>
          <w:szCs w:val="24"/>
        </w:rPr>
      </w:pPr>
      <w:r>
        <w:rPr>
          <w:color w:val="000000"/>
          <w:sz w:val="24"/>
          <w:szCs w:val="24"/>
        </w:rPr>
        <w:t xml:space="preserve">- в 1917 году - 3 парусника. </w:t>
      </w:r>
    </w:p>
    <w:p w:rsidR="00B303BF" w:rsidRDefault="00775990">
      <w:pPr>
        <w:widowControl w:val="0"/>
        <w:spacing w:before="120"/>
        <w:ind w:firstLine="567"/>
        <w:jc w:val="both"/>
        <w:rPr>
          <w:color w:val="000000"/>
          <w:sz w:val="24"/>
          <w:szCs w:val="24"/>
        </w:rPr>
      </w:pPr>
      <w:r>
        <w:rPr>
          <w:color w:val="000000"/>
          <w:sz w:val="24"/>
          <w:szCs w:val="24"/>
        </w:rPr>
        <w:t xml:space="preserve">1 мая 1918 года захвачена в Севастополе германскими войсками, в ноябре 1918 года перешла на сторону Белого движения и в составе Черноморской эскадры Вооруженных сил юга России 14 ноября 1920 года перешла из Севастополя в Константинополь. Вскоре русская эскадра и ее личный состав перешли под опеку Франции и 29 декабря 1920 года были перебазированы в Бизерту. </w:t>
      </w:r>
    </w:p>
    <w:p w:rsidR="00B303BF" w:rsidRDefault="00775990">
      <w:pPr>
        <w:widowControl w:val="0"/>
        <w:spacing w:before="120"/>
        <w:ind w:firstLine="567"/>
        <w:jc w:val="both"/>
        <w:rPr>
          <w:color w:val="000000"/>
          <w:sz w:val="24"/>
          <w:szCs w:val="24"/>
        </w:rPr>
      </w:pPr>
      <w:r>
        <w:rPr>
          <w:color w:val="000000"/>
          <w:sz w:val="24"/>
          <w:szCs w:val="24"/>
        </w:rPr>
        <w:t xml:space="preserve">24 октября 1924 года был спущен Андреевский флаг, начиная с 1930 года Франция начала продавать корабли на слом, дата продажи подводной лодки "Тюлень" находится в пределах 1930-1936 гг. </w:t>
      </w:r>
    </w:p>
    <w:p w:rsidR="00B303BF" w:rsidRDefault="00775990">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03BF">
        <w:tc>
          <w:tcPr>
            <w:tcW w:w="4927" w:type="dxa"/>
          </w:tcPr>
          <w:p w:rsidR="00B303BF" w:rsidRDefault="00775990">
            <w:pPr>
              <w:widowControl w:val="0"/>
              <w:spacing w:before="120"/>
              <w:jc w:val="both"/>
              <w:rPr>
                <w:color w:val="000000"/>
                <w:sz w:val="24"/>
                <w:szCs w:val="24"/>
              </w:rPr>
            </w:pPr>
            <w:r>
              <w:rPr>
                <w:color w:val="000000"/>
                <w:sz w:val="24"/>
                <w:szCs w:val="24"/>
              </w:rPr>
              <w:t>Длина, м</w:t>
            </w:r>
          </w:p>
        </w:tc>
        <w:tc>
          <w:tcPr>
            <w:tcW w:w="4927" w:type="dxa"/>
          </w:tcPr>
          <w:p w:rsidR="00B303BF" w:rsidRDefault="00775990">
            <w:pPr>
              <w:widowControl w:val="0"/>
              <w:spacing w:before="120"/>
              <w:jc w:val="both"/>
              <w:rPr>
                <w:color w:val="000000"/>
                <w:sz w:val="24"/>
                <w:szCs w:val="24"/>
              </w:rPr>
            </w:pPr>
            <w:r>
              <w:rPr>
                <w:color w:val="000000"/>
                <w:sz w:val="24"/>
                <w:szCs w:val="24"/>
              </w:rPr>
              <w:t>67</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Ширина, м</w:t>
            </w:r>
          </w:p>
        </w:tc>
        <w:tc>
          <w:tcPr>
            <w:tcW w:w="4927" w:type="dxa"/>
          </w:tcPr>
          <w:p w:rsidR="00B303BF" w:rsidRDefault="00775990">
            <w:pPr>
              <w:widowControl w:val="0"/>
              <w:spacing w:before="120"/>
              <w:jc w:val="both"/>
              <w:rPr>
                <w:color w:val="000000"/>
                <w:sz w:val="24"/>
                <w:szCs w:val="24"/>
              </w:rPr>
            </w:pPr>
            <w:r>
              <w:rPr>
                <w:color w:val="000000"/>
                <w:sz w:val="24"/>
                <w:szCs w:val="24"/>
              </w:rPr>
              <w:t>4,47</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Осадка, м</w:t>
            </w:r>
          </w:p>
        </w:tc>
        <w:tc>
          <w:tcPr>
            <w:tcW w:w="4927" w:type="dxa"/>
          </w:tcPr>
          <w:p w:rsidR="00B303BF" w:rsidRDefault="00775990">
            <w:pPr>
              <w:widowControl w:val="0"/>
              <w:spacing w:before="120"/>
              <w:jc w:val="both"/>
              <w:rPr>
                <w:color w:val="000000"/>
                <w:sz w:val="24"/>
                <w:szCs w:val="24"/>
              </w:rPr>
            </w:pPr>
            <w:r>
              <w:rPr>
                <w:color w:val="000000"/>
                <w:sz w:val="24"/>
                <w:szCs w:val="24"/>
              </w:rPr>
              <w:t>3,91</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B303BF" w:rsidRDefault="00775990">
            <w:pPr>
              <w:widowControl w:val="0"/>
              <w:spacing w:before="120"/>
              <w:jc w:val="both"/>
              <w:rPr>
                <w:color w:val="000000"/>
                <w:sz w:val="24"/>
                <w:szCs w:val="24"/>
              </w:rPr>
            </w:pPr>
            <w:r>
              <w:rPr>
                <w:color w:val="000000"/>
                <w:sz w:val="24"/>
                <w:szCs w:val="24"/>
              </w:rPr>
              <w:t xml:space="preserve">630 / 758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B303BF" w:rsidRDefault="00775990">
            <w:pPr>
              <w:widowControl w:val="0"/>
              <w:spacing w:before="120"/>
              <w:jc w:val="both"/>
              <w:rPr>
                <w:color w:val="000000"/>
                <w:sz w:val="24"/>
                <w:szCs w:val="24"/>
              </w:rPr>
            </w:pPr>
            <w:r>
              <w:rPr>
                <w:color w:val="000000"/>
                <w:sz w:val="24"/>
                <w:szCs w:val="24"/>
              </w:rPr>
              <w:t xml:space="preserve">2х250 / 2х450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B303BF" w:rsidRDefault="00775990">
            <w:pPr>
              <w:widowControl w:val="0"/>
              <w:spacing w:before="120"/>
              <w:jc w:val="both"/>
              <w:rPr>
                <w:color w:val="000000"/>
                <w:sz w:val="24"/>
                <w:szCs w:val="24"/>
              </w:rPr>
            </w:pPr>
            <w:r>
              <w:rPr>
                <w:color w:val="000000"/>
                <w:sz w:val="24"/>
                <w:szCs w:val="24"/>
              </w:rPr>
              <w:t xml:space="preserve">12 / 8,5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B303BF" w:rsidRDefault="00775990">
            <w:pPr>
              <w:widowControl w:val="0"/>
              <w:spacing w:before="120"/>
              <w:jc w:val="both"/>
              <w:rPr>
                <w:color w:val="000000"/>
                <w:sz w:val="24"/>
                <w:szCs w:val="24"/>
              </w:rPr>
            </w:pPr>
            <w:r>
              <w:rPr>
                <w:color w:val="000000"/>
                <w:sz w:val="24"/>
                <w:szCs w:val="24"/>
              </w:rPr>
              <w:t xml:space="preserve">2500 / 28 </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Глубина погружения, м</w:t>
            </w:r>
          </w:p>
        </w:tc>
        <w:tc>
          <w:tcPr>
            <w:tcW w:w="4927" w:type="dxa"/>
          </w:tcPr>
          <w:p w:rsidR="00B303BF" w:rsidRDefault="00775990">
            <w:pPr>
              <w:widowControl w:val="0"/>
              <w:spacing w:before="120"/>
              <w:jc w:val="both"/>
              <w:rPr>
                <w:color w:val="000000"/>
                <w:sz w:val="24"/>
                <w:szCs w:val="24"/>
              </w:rPr>
            </w:pPr>
            <w:r>
              <w:rPr>
                <w:color w:val="000000"/>
                <w:sz w:val="24"/>
                <w:szCs w:val="24"/>
              </w:rPr>
              <w:t>50</w:t>
            </w:r>
          </w:p>
        </w:tc>
      </w:tr>
    </w:tbl>
    <w:p w:rsidR="00B303BF" w:rsidRDefault="00775990">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B303BF">
        <w:tc>
          <w:tcPr>
            <w:tcW w:w="4927" w:type="dxa"/>
          </w:tcPr>
          <w:p w:rsidR="00B303BF" w:rsidRDefault="00775990">
            <w:pPr>
              <w:widowControl w:val="0"/>
              <w:spacing w:before="120"/>
              <w:jc w:val="both"/>
              <w:rPr>
                <w:color w:val="000000"/>
                <w:sz w:val="24"/>
                <w:szCs w:val="24"/>
              </w:rPr>
            </w:pPr>
            <w:r>
              <w:rPr>
                <w:color w:val="000000"/>
                <w:sz w:val="24"/>
                <w:szCs w:val="24"/>
              </w:rPr>
              <w:t>57 мм артиллерийское орудие</w:t>
            </w:r>
          </w:p>
        </w:tc>
        <w:tc>
          <w:tcPr>
            <w:tcW w:w="4927" w:type="dxa"/>
          </w:tcPr>
          <w:p w:rsidR="00B303BF" w:rsidRDefault="00775990">
            <w:pPr>
              <w:widowControl w:val="0"/>
              <w:spacing w:before="120"/>
              <w:jc w:val="both"/>
              <w:rPr>
                <w:color w:val="000000"/>
                <w:sz w:val="24"/>
                <w:szCs w:val="24"/>
              </w:rPr>
            </w:pPr>
            <w:r>
              <w:rPr>
                <w:color w:val="000000"/>
                <w:sz w:val="24"/>
                <w:szCs w:val="24"/>
              </w:rPr>
              <w:t>1</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76 мм артиллерийское орудие</w:t>
            </w:r>
          </w:p>
        </w:tc>
        <w:tc>
          <w:tcPr>
            <w:tcW w:w="4927" w:type="dxa"/>
          </w:tcPr>
          <w:p w:rsidR="00B303BF" w:rsidRDefault="00775990">
            <w:pPr>
              <w:widowControl w:val="0"/>
              <w:spacing w:before="120"/>
              <w:jc w:val="both"/>
              <w:rPr>
                <w:color w:val="000000"/>
                <w:sz w:val="24"/>
                <w:szCs w:val="24"/>
              </w:rPr>
            </w:pPr>
            <w:r>
              <w:rPr>
                <w:color w:val="000000"/>
                <w:sz w:val="24"/>
                <w:szCs w:val="24"/>
              </w:rPr>
              <w:t>1</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Торпеды в трубчатых торпедных аппаратах (2 носовых, 2 кормовых)</w:t>
            </w:r>
          </w:p>
        </w:tc>
        <w:tc>
          <w:tcPr>
            <w:tcW w:w="4927" w:type="dxa"/>
          </w:tcPr>
          <w:p w:rsidR="00B303BF" w:rsidRDefault="00775990">
            <w:pPr>
              <w:widowControl w:val="0"/>
              <w:spacing w:before="120"/>
              <w:jc w:val="both"/>
              <w:rPr>
                <w:color w:val="000000"/>
                <w:sz w:val="24"/>
                <w:szCs w:val="24"/>
              </w:rPr>
            </w:pPr>
            <w:r>
              <w:rPr>
                <w:color w:val="000000"/>
                <w:sz w:val="24"/>
                <w:szCs w:val="24"/>
              </w:rPr>
              <w:t>4</w:t>
            </w:r>
          </w:p>
        </w:tc>
      </w:tr>
      <w:tr w:rsidR="00B303BF">
        <w:tc>
          <w:tcPr>
            <w:tcW w:w="4927" w:type="dxa"/>
          </w:tcPr>
          <w:p w:rsidR="00B303BF" w:rsidRDefault="00775990">
            <w:pPr>
              <w:widowControl w:val="0"/>
              <w:spacing w:before="120"/>
              <w:jc w:val="both"/>
              <w:rPr>
                <w:color w:val="000000"/>
                <w:sz w:val="24"/>
                <w:szCs w:val="24"/>
              </w:rPr>
            </w:pPr>
            <w:r>
              <w:rPr>
                <w:color w:val="000000"/>
                <w:sz w:val="24"/>
                <w:szCs w:val="24"/>
              </w:rPr>
              <w:t>Торпеды в наружных решетчатых аппаратах Джевецкого</w:t>
            </w:r>
          </w:p>
        </w:tc>
        <w:tc>
          <w:tcPr>
            <w:tcW w:w="4927" w:type="dxa"/>
          </w:tcPr>
          <w:p w:rsidR="00B303BF" w:rsidRDefault="00775990">
            <w:pPr>
              <w:widowControl w:val="0"/>
              <w:spacing w:before="120"/>
              <w:jc w:val="both"/>
              <w:rPr>
                <w:color w:val="000000"/>
                <w:sz w:val="24"/>
                <w:szCs w:val="24"/>
              </w:rPr>
            </w:pPr>
            <w:r>
              <w:rPr>
                <w:color w:val="000000"/>
                <w:sz w:val="24"/>
                <w:szCs w:val="24"/>
              </w:rPr>
              <w:t>8</w:t>
            </w:r>
          </w:p>
        </w:tc>
      </w:tr>
    </w:tbl>
    <w:p w:rsidR="00B303BF" w:rsidRDefault="00B303BF">
      <w:pPr>
        <w:widowControl w:val="0"/>
        <w:spacing w:before="120"/>
        <w:ind w:firstLine="567"/>
        <w:jc w:val="both"/>
        <w:rPr>
          <w:color w:val="000000"/>
          <w:sz w:val="24"/>
          <w:szCs w:val="24"/>
        </w:rPr>
      </w:pPr>
      <w:bookmarkStart w:id="0" w:name="_GoBack"/>
      <w:bookmarkEnd w:id="0"/>
    </w:p>
    <w:sectPr w:rsidR="00B303B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990"/>
    <w:rsid w:val="00775990"/>
    <w:rsid w:val="00B303BF"/>
    <w:rsid w:val="00DB7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9C5CFF-C30C-4D09-ACC8-ACB44AEB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paragraph" w:styleId="a3">
    <w:name w:val="Normal (Web)"/>
    <w:basedOn w:val="a"/>
    <w:uiPriority w:val="99"/>
    <w:pPr>
      <w:spacing w:before="100" w:beforeAutospacing="1" w:after="100" w:afterAutospacing="1"/>
    </w:pPr>
    <w:rPr>
      <w:color w:val="FFFF00"/>
      <w:sz w:val="24"/>
      <w:szCs w:val="24"/>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4276</Words>
  <Characters>2438</Characters>
  <Application>Microsoft Office Word</Application>
  <DocSecurity>0</DocSecurity>
  <Lines>20</Lines>
  <Paragraphs>13</Paragraphs>
  <ScaleCrop>false</ScaleCrop>
  <Company>PERSONAL COMPUTERS</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Подводные лодки типа "Морж"</dc:title>
  <dc:subject/>
  <dc:creator>USER</dc:creator>
  <cp:keywords/>
  <dc:description/>
  <cp:lastModifiedBy>admin</cp:lastModifiedBy>
  <cp:revision>2</cp:revision>
  <dcterms:created xsi:type="dcterms:W3CDTF">2014-01-25T23:39:00Z</dcterms:created>
  <dcterms:modified xsi:type="dcterms:W3CDTF">2014-01-25T23:39:00Z</dcterms:modified>
</cp:coreProperties>
</file>