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586" w:rsidRPr="00BA1B00" w:rsidRDefault="00900586" w:rsidP="00BA1B00">
      <w:pPr>
        <w:pStyle w:val="2"/>
      </w:pPr>
      <w:r w:rsidRPr="00BA1B00">
        <w:t>Полимеры-самоубийцы меняют облик медицины</w:t>
      </w:r>
    </w:p>
    <w:p w:rsidR="00BA1B00" w:rsidRDefault="00BA1B00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900586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Ученые из технологического университета Джорджии получили полимеры нового типа</w:t>
      </w:r>
      <w:r w:rsidR="00BA1B00" w:rsidRPr="00BA1B00">
        <w:rPr>
          <w:szCs w:val="28"/>
        </w:rPr>
        <w:t xml:space="preserve"> - </w:t>
      </w:r>
      <w:r w:rsidRPr="00BA1B00">
        <w:rPr>
          <w:szCs w:val="28"/>
        </w:rPr>
        <w:t>продукты их разложения безопасны для человека и окружающей среды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 xml:space="preserve">Новые полимеры, по мнению специалистов, будут использоваться, в основном, в медицине и фармацевтике и смогут обеспечить внутриклеточную доставку нужных медикаментов для лечения раковых </w:t>
      </w:r>
      <w:r w:rsidR="000D6F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Полимеры и медицина" style="position:absolute;left:0;text-align:left;margin-left:21pt;margin-top:62.1pt;width:127.5pt;height:90pt;z-index:251657728;mso-wrap-distance-left:7.35pt;mso-wrap-distance-top:7.35pt;mso-wrap-distance-right:7.35pt;mso-wrap-distance-bottom:7.35pt;mso-position-horizontal-relative:text;mso-position-vertical-relative:line" o:allowoverlap="f">
            <v:imagedata r:id="rId7" o:title=""/>
            <w10:wrap type="topAndBottom"/>
          </v:shape>
        </w:pict>
      </w:r>
      <w:r w:rsidRPr="00BA1B00">
        <w:rPr>
          <w:szCs w:val="28"/>
        </w:rPr>
        <w:t>заболеваний, воспалительных заболеваний тканей и даже отдельных клеток</w:t>
      </w:r>
      <w:r w:rsidR="00BA1B00" w:rsidRPr="00BA1B00">
        <w:rPr>
          <w:szCs w:val="28"/>
        </w:rPr>
        <w:t xml:space="preserve">. </w:t>
      </w:r>
    </w:p>
    <w:p w:rsidR="00BA1B00" w:rsidRPr="00BA1B00" w:rsidRDefault="00BA1B00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A1B00" w:rsidRDefault="00BA1B00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900586" w:rsidRP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Разработка новых полимеров проводилась профессором Найреном Марти (Niren Murthy</w:t>
      </w:r>
      <w:r w:rsidR="00BA1B00" w:rsidRPr="00BA1B00">
        <w:rPr>
          <w:szCs w:val="28"/>
        </w:rPr>
        <w:t xml:space="preserve">) </w:t>
      </w:r>
      <w:r w:rsidRPr="00BA1B00">
        <w:rPr>
          <w:szCs w:val="28"/>
        </w:rPr>
        <w:t>из технологического университета Джорджии совместно с иммунологом Бали Палендраном (Bali Pulendran</w:t>
      </w:r>
      <w:r w:rsidR="00BA1B00" w:rsidRPr="00BA1B00">
        <w:rPr>
          <w:szCs w:val="28"/>
        </w:rPr>
        <w:t xml:space="preserve">) </w:t>
      </w:r>
      <w:r w:rsidRPr="00BA1B00">
        <w:rPr>
          <w:szCs w:val="28"/>
        </w:rPr>
        <w:t>из университета Эмори и их коллегами из других университетов, сообщает PhysOrg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Синтез нового типа биодеградирующих материалов не представляет трудностей, а продукты разложения могут свободно транспортироваться через клеточные мембраны, что позволяет использовать полимеры в качестве средств доставки лекарств</w:t>
      </w:r>
      <w:r w:rsidR="00BA1B00" w:rsidRPr="00BA1B00">
        <w:rPr>
          <w:szCs w:val="28"/>
        </w:rPr>
        <w:t xml:space="preserve">. </w:t>
      </w:r>
    </w:p>
    <w:p w:rsidR="00900586" w:rsidRP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Продукты разложения нового типа биодеградирующих полимеров</w:t>
      </w:r>
      <w:r w:rsidR="00BA1B00" w:rsidRPr="00BA1B00">
        <w:rPr>
          <w:szCs w:val="28"/>
        </w:rPr>
        <w:t xml:space="preserve"> - </w:t>
      </w:r>
      <w:r w:rsidRPr="00BA1B00">
        <w:rPr>
          <w:szCs w:val="28"/>
        </w:rPr>
        <w:t>обычные пищевые добавки из семейства поликеталов, которые, в свою очередь, уже одобрены FDA для безопасного использования в пищевой промышленности и фармацевтике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В этом главное преимущество новых полимеров перед существующими</w:t>
      </w:r>
      <w:r w:rsidR="00BA1B00" w:rsidRPr="00BA1B00">
        <w:rPr>
          <w:szCs w:val="28"/>
        </w:rPr>
        <w:t xml:space="preserve"> - </w:t>
      </w:r>
      <w:r w:rsidRPr="00BA1B00">
        <w:rPr>
          <w:szCs w:val="28"/>
        </w:rPr>
        <w:t>продукты разложения полимеров не будут накапливаться в тканях и вызывать их воспалительную реакцию, а будут успешно выводиться через клеточные мембраны с помощью механизмов диффузии</w:t>
      </w:r>
      <w:r w:rsidR="00BA1B00" w:rsidRPr="00BA1B00">
        <w:rPr>
          <w:szCs w:val="28"/>
        </w:rPr>
        <w:t xml:space="preserve">. </w:t>
      </w:r>
    </w:p>
    <w:p w:rsidR="00900586" w:rsidRP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"Еще 20-30 лет назад мы знали, что при накоплении наночастиц клеткой частицы собираются в зоне с pH, равным 5,0,</w:t>
      </w:r>
      <w:r w:rsidR="00BA1B00" w:rsidRPr="00BA1B00">
        <w:rPr>
          <w:szCs w:val="28"/>
        </w:rPr>
        <w:t xml:space="preserve"> - </w:t>
      </w:r>
      <w:r w:rsidRPr="00BA1B00">
        <w:rPr>
          <w:szCs w:val="28"/>
        </w:rPr>
        <w:t>говорит проф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Марти</w:t>
      </w:r>
      <w:r w:rsidR="00BA1B00" w:rsidRPr="00BA1B00">
        <w:rPr>
          <w:szCs w:val="28"/>
        </w:rPr>
        <w:t xml:space="preserve">. - </w:t>
      </w:r>
      <w:r w:rsidRPr="00BA1B00">
        <w:rPr>
          <w:szCs w:val="28"/>
        </w:rPr>
        <w:t>И мы уже давно "приручили" наночастицы, поступающие внутрь животных клеток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Теперь, с появлением новых биодеградирующих материалов, можно использовать наш опыт для решения проблем в области фармацевтики"</w:t>
      </w:r>
      <w:r w:rsidR="00BA1B00" w:rsidRPr="00BA1B00">
        <w:rPr>
          <w:szCs w:val="28"/>
        </w:rPr>
        <w:t xml:space="preserve">. </w:t>
      </w:r>
    </w:p>
    <w:p w:rsidR="00900586" w:rsidRP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Кислотная среда клетки вызывает гидролиз гидрофильных компонент наночастиц поликеталов, что вызывает разрушение полимера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Это полезное свойство биодеградирующих материалов ученые планируют использовать в фармацевтике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Если, например, окружить лекарство капсулой из подобного полимера, то она выпустит лекарство только во внутриклеточной среде с ее низким pH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Таким образом, лекарство в целости попадет в нужные клетки, что является важнейшей особенностью технологии по доставке лекарств (Drug Delivery</w:t>
      </w:r>
      <w:r w:rsidR="00BA1B00" w:rsidRPr="00BA1B00">
        <w:rPr>
          <w:szCs w:val="28"/>
        </w:rPr>
        <w:t xml:space="preserve">). </w:t>
      </w:r>
    </w:p>
    <w:p w:rsidR="00900586" w:rsidRP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Также при разложении поликеталы не изменяют кислотную среду клетки, что очень важно при длительном использовании подобных препаратов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Ученые планируют в ближайшее время заняться изучением побочных эффектов при длительном воздействии полимерных капсул на организм</w:t>
      </w:r>
      <w:r w:rsidR="00BA1B00" w:rsidRPr="00BA1B00">
        <w:rPr>
          <w:szCs w:val="28"/>
        </w:rPr>
        <w:t xml:space="preserve">. </w:t>
      </w:r>
    </w:p>
    <w:p w:rsidR="00900586" w:rsidRP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По словам проф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Марти, разработка и синтез новых полимеров</w:t>
      </w:r>
      <w:r w:rsidR="00BA1B00" w:rsidRPr="00BA1B00">
        <w:rPr>
          <w:szCs w:val="28"/>
        </w:rPr>
        <w:t xml:space="preserve"> - </w:t>
      </w:r>
      <w:r w:rsidRPr="00BA1B00">
        <w:rPr>
          <w:szCs w:val="28"/>
        </w:rPr>
        <w:t>довольно простой процесс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Схема их синтеза широко известна в синтетической химии, это так называемая реакция по замене ацеталов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Ученые воспользовались этой реакцией для синтеза новых полимеров и использовали в ней молекулу с двумя спиртовыми основаниями вместо одного</w:t>
      </w:r>
      <w:r w:rsidR="00BA1B00" w:rsidRPr="00BA1B00">
        <w:rPr>
          <w:szCs w:val="28"/>
        </w:rPr>
        <w:t xml:space="preserve">. </w:t>
      </w:r>
    </w:p>
    <w:p w:rsidR="00900586" w:rsidRP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"Самое интересное, что мы можем настраивать как механические свойства нанокапсул, так и время их разложения благодаря контролированию их синтеза</w:t>
      </w:r>
      <w:r w:rsidR="00BA1B00" w:rsidRPr="00BA1B00">
        <w:rPr>
          <w:szCs w:val="28"/>
        </w:rPr>
        <w:t xml:space="preserve"> - </w:t>
      </w:r>
      <w:r w:rsidRPr="00BA1B00">
        <w:rPr>
          <w:szCs w:val="28"/>
        </w:rPr>
        <w:t>изменяя состав спиртов в реакции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Получается набор различных по действию полимеров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Так, например, для лечения острой печеночной недостаточности лекарство должно поступить в клетки в течение одного-двух дней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А при заболевании артритом это время колеблется от месяца до двух,</w:t>
      </w:r>
      <w:r w:rsidR="00BA1B00" w:rsidRPr="00BA1B00">
        <w:rPr>
          <w:szCs w:val="28"/>
        </w:rPr>
        <w:t xml:space="preserve"> - </w:t>
      </w:r>
      <w:r w:rsidRPr="00BA1B00">
        <w:rPr>
          <w:szCs w:val="28"/>
        </w:rPr>
        <w:t>комментирует проф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Марти</w:t>
      </w:r>
      <w:r w:rsidR="00BA1B00" w:rsidRPr="00BA1B00">
        <w:rPr>
          <w:szCs w:val="28"/>
        </w:rPr>
        <w:t xml:space="preserve">. - </w:t>
      </w:r>
      <w:r w:rsidRPr="00BA1B00">
        <w:rPr>
          <w:szCs w:val="28"/>
        </w:rPr>
        <w:t>Одна из самых распространенных проблем при лечении пациентов с помощью нанокапсул-транспортов, состоящих из полиэстеров, заключается в накоплении продуктов их распада в клетках, так как деградация происходит в течение месяца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А поликеталовые полимеры разлагаются в течение недели, что способствует их быстрому выходу из тела пациента"</w:t>
      </w:r>
      <w:r w:rsidR="00BA1B00" w:rsidRPr="00BA1B00">
        <w:rPr>
          <w:szCs w:val="28"/>
        </w:rPr>
        <w:t xml:space="preserve">. </w:t>
      </w:r>
    </w:p>
    <w:p w:rsidR="00900586" w:rsidRP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Ученые надеются детально исследовать поликеталы в клинических тестах, которые будут продолжаться около 5 лет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Опыты на животных уже принесли положительные результаты</w:t>
      </w:r>
      <w:r w:rsidR="00BA1B00" w:rsidRPr="00BA1B00">
        <w:rPr>
          <w:szCs w:val="28"/>
        </w:rPr>
        <w:t xml:space="preserve">: </w:t>
      </w:r>
      <w:r w:rsidRPr="00BA1B00">
        <w:rPr>
          <w:szCs w:val="28"/>
        </w:rPr>
        <w:t>мыши с острой печеночной недостаточностью были подвергнуты инъекциям поликеталов с фальшивым "грузом" медикаментов, и нанокапсулы доставили их непосредственно к клеткам печени</w:t>
      </w:r>
      <w:r w:rsidR="00BA1B00" w:rsidRPr="00BA1B00">
        <w:rPr>
          <w:szCs w:val="28"/>
        </w:rPr>
        <w:t xml:space="preserve">. </w:t>
      </w:r>
    </w:p>
    <w:p w:rsidR="00900586" w:rsidRP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В качестве "начинки" наногрузовиков для лечения острой печеночной недостаточности ученые планируют использовать антиоксиданты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У пациентов, больных этим заболеванием, клетки печени перестают функционировать из-за продуцирования активных кислородсодержащих веществ макрофагами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Лечение этого заболевания состоит в доставке энзима супероксида дисмутазы, который эффективно снижает активность и токсичные свойства супероксидов</w:t>
      </w:r>
      <w:r w:rsidR="00BA1B00" w:rsidRPr="00BA1B00">
        <w:rPr>
          <w:szCs w:val="28"/>
        </w:rPr>
        <w:t xml:space="preserve">. </w:t>
      </w:r>
    </w:p>
    <w:p w:rsidR="004F40DF" w:rsidRP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Другое применение полимерных нанокапсул</w:t>
      </w:r>
      <w:r w:rsidR="00BA1B00" w:rsidRPr="00BA1B00">
        <w:rPr>
          <w:szCs w:val="28"/>
        </w:rPr>
        <w:t xml:space="preserve"> - </w:t>
      </w:r>
      <w:r w:rsidRPr="00BA1B00">
        <w:rPr>
          <w:szCs w:val="28"/>
        </w:rPr>
        <w:t>в доставке любых протеин-содержащих лекарств, что может помочь в борьбе с сахарным диабетом 1 типа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Лекарства будут доставляться постепенно, что позволит произвести терапию, скажем, раз в месяц, вместо того, чтобы д</w:t>
      </w:r>
      <w:r w:rsidR="004F40DF" w:rsidRPr="00BA1B00">
        <w:rPr>
          <w:szCs w:val="28"/>
        </w:rPr>
        <w:t>елать частые инъекции инсулина</w:t>
      </w:r>
      <w:r w:rsidR="00BA1B00" w:rsidRPr="00BA1B00">
        <w:rPr>
          <w:szCs w:val="28"/>
        </w:rPr>
        <w:t xml:space="preserve">. </w:t>
      </w:r>
    </w:p>
    <w:p w:rsidR="00BA1B00" w:rsidRDefault="00900586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В середине 2005 года ученые успешно запатентовали свое открытие нового семейства полимерных поликеталов в качестве оболочек для доставки лекарств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Еще ранее, в 2001 году, проф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Марти указывал на возможность использования поликеталов для производства фоторезистов, но это направление исследований еще не до конца изучено учеными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В настоящее время проф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Марти и его коллеги обсуждают возможность создания биомедицинской компании, специализирующейся на биодеградирующих наноматери</w:t>
      </w:r>
      <w:r w:rsidR="00FE797B" w:rsidRPr="00BA1B00">
        <w:rPr>
          <w:szCs w:val="28"/>
        </w:rPr>
        <w:t>алах на основе поликеталов</w:t>
      </w:r>
      <w:r w:rsidR="00BA1B00">
        <w:rPr>
          <w:szCs w:val="28"/>
        </w:rPr>
        <w:t xml:space="preserve"> </w:t>
      </w:r>
      <w:r w:rsidR="00FE797B" w:rsidRPr="00BA1B00">
        <w:rPr>
          <w:szCs w:val="28"/>
        </w:rPr>
        <w:t>/1/</w:t>
      </w:r>
      <w:r w:rsidR="00BA1B00" w:rsidRPr="00BA1B00">
        <w:rPr>
          <w:szCs w:val="28"/>
        </w:rPr>
        <w:t xml:space="preserve">. </w:t>
      </w:r>
    </w:p>
    <w:p w:rsidR="00BA1B00" w:rsidRPr="00BA1B00" w:rsidRDefault="00BA1B00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DF741B" w:rsidRDefault="00DF741B" w:rsidP="00BA1B00">
      <w:pPr>
        <w:pStyle w:val="2"/>
      </w:pPr>
      <w:r w:rsidRPr="00BA1B00">
        <w:t>Наночастицы для лечения лекарственно-устойчивых форм рака</w:t>
      </w:r>
    </w:p>
    <w:p w:rsidR="00BA1B00" w:rsidRPr="00BA1B00" w:rsidRDefault="00BA1B00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FE797B" w:rsidRPr="00BA1B00" w:rsidRDefault="000D6F9F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  <w:lang w:val="en"/>
        </w:rPr>
        <w:pict>
          <v:shape id="_x0000_i1025" type="#_x0000_t75" alt="Наночастицы - один из инструментов наномедицины" style="width:196.5pt;height:168.75pt">
            <v:imagedata r:id="rId8" o:title=""/>
          </v:shape>
        </w:pict>
      </w:r>
    </w:p>
    <w:p w:rsidR="00BA1B00" w:rsidRDefault="00BA1B00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DF741B" w:rsidRPr="00BA1B00" w:rsidRDefault="00DF741B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Наночастицы</w:t>
      </w:r>
      <w:r w:rsidR="00BA1B00" w:rsidRPr="00BA1B00">
        <w:rPr>
          <w:szCs w:val="28"/>
        </w:rPr>
        <w:t xml:space="preserve"> - </w:t>
      </w:r>
      <w:r w:rsidRPr="00BA1B00">
        <w:rPr>
          <w:szCs w:val="28"/>
        </w:rPr>
        <w:t>один из инструментов наномедицины</w:t>
      </w:r>
      <w:r w:rsidR="00BA1B00" w:rsidRPr="00BA1B00">
        <w:rPr>
          <w:szCs w:val="28"/>
        </w:rPr>
        <w:t xml:space="preserve">. </w:t>
      </w:r>
    </w:p>
    <w:p w:rsidR="00DF741B" w:rsidRPr="00BA1B00" w:rsidRDefault="00DF741B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Двойное действие нового вида противоракового препарата направлено на доставку лекарства к опухолевым клеткам, а также на подавление эффекта резистентности, часто возникающего в результате медикаментозного лечения</w:t>
      </w:r>
      <w:r w:rsidR="00BA1B00" w:rsidRPr="00BA1B00">
        <w:rPr>
          <w:szCs w:val="28"/>
        </w:rPr>
        <w:t xml:space="preserve">. </w:t>
      </w:r>
    </w:p>
    <w:p w:rsidR="00DF741B" w:rsidRPr="00BA1B00" w:rsidRDefault="00DF741B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 xml:space="preserve">Ученые </w:t>
      </w:r>
      <w:r w:rsidRPr="00BA1B00">
        <w:rPr>
          <w:szCs w:val="28"/>
          <w:lang w:val="en"/>
        </w:rPr>
        <w:t>Northeastern</w:t>
      </w:r>
      <w:r w:rsidRPr="00BA1B00">
        <w:rPr>
          <w:szCs w:val="28"/>
        </w:rPr>
        <w:t xml:space="preserve"> </w:t>
      </w:r>
      <w:r w:rsidRPr="00BA1B00">
        <w:rPr>
          <w:szCs w:val="28"/>
          <w:lang w:val="en"/>
        </w:rPr>
        <w:t>University</w:t>
      </w:r>
      <w:r w:rsidRPr="00BA1B00">
        <w:rPr>
          <w:szCs w:val="28"/>
        </w:rPr>
        <w:t>, занимающиеся проблемами множественной лекарственной устойчивости раковых опухолей, в сотрудничестве с Нанотехнологическим Альянсом Национального института рака разработали полимерные наночастицы, которые сначала доставляют сильное противораковое лекарство непосредственно к раковым клеткам, а затем высвобождают агент, инициирующий в устойчивых к лекарству клетках процессы самопроизвольной смерти</w:t>
      </w:r>
      <w:r w:rsidR="00BA1B00" w:rsidRPr="00BA1B00">
        <w:rPr>
          <w:szCs w:val="28"/>
        </w:rPr>
        <w:t xml:space="preserve">. </w:t>
      </w:r>
    </w:p>
    <w:p w:rsidR="00DF741B" w:rsidRDefault="00DF741B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Тестирование нового вида терапии на привитой мышам человеческой опухоли (рака груди</w:t>
      </w:r>
      <w:r w:rsidR="00BA1B00" w:rsidRPr="00BA1B00">
        <w:rPr>
          <w:szCs w:val="28"/>
        </w:rPr>
        <w:t xml:space="preserve">) </w:t>
      </w:r>
      <w:r w:rsidRPr="00BA1B00">
        <w:rPr>
          <w:szCs w:val="28"/>
        </w:rPr>
        <w:t>показало эффективное достижение высоких концентраций обоих агентов в непосредственной близости к опухоли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Этими агентами являются разработанные ранее противораковое средство паклитаксел (</w:t>
      </w:r>
      <w:r w:rsidRPr="00BA1B00">
        <w:rPr>
          <w:szCs w:val="28"/>
          <w:lang w:val="en"/>
        </w:rPr>
        <w:t>paclitaxel</w:t>
      </w:r>
      <w:r w:rsidR="00BA1B00" w:rsidRPr="00BA1B00">
        <w:rPr>
          <w:szCs w:val="28"/>
        </w:rPr>
        <w:t xml:space="preserve">) </w:t>
      </w:r>
      <w:r w:rsidRPr="00BA1B00">
        <w:rPr>
          <w:szCs w:val="28"/>
        </w:rPr>
        <w:t>и инициирующий клеточную смерть церамид (с</w:t>
      </w:r>
      <w:r w:rsidRPr="00BA1B00">
        <w:rPr>
          <w:szCs w:val="28"/>
          <w:lang w:val="en"/>
        </w:rPr>
        <w:t>eramide</w:t>
      </w:r>
      <w:r w:rsidR="00BA1B00" w:rsidRPr="00BA1B00">
        <w:rPr>
          <w:szCs w:val="28"/>
        </w:rPr>
        <w:t xml:space="preserve">). </w:t>
      </w:r>
    </w:p>
    <w:p w:rsidR="00BA1B00" w:rsidRPr="00BA1B00" w:rsidRDefault="00BA1B00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4F40DF" w:rsidRPr="00BA1B00" w:rsidRDefault="000D6F9F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  <w:lang w:val="en"/>
        </w:rPr>
        <w:pict>
          <v:shape id="_x0000_i1026" type="#_x0000_t75" style="width:198.75pt;height:127.5pt">
            <v:imagedata r:id="rId9" o:title=""/>
          </v:shape>
        </w:pict>
      </w:r>
    </w:p>
    <w:p w:rsidR="00BA1B00" w:rsidRPr="00BA1B00" w:rsidRDefault="00BA1B00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Рис.1</w:t>
      </w:r>
      <w:r w:rsidRPr="00BA1B00">
        <w:rPr>
          <w:szCs w:val="28"/>
        </w:rPr>
        <w:t xml:space="preserve">. </w:t>
      </w:r>
      <w:r w:rsidR="00DF741B" w:rsidRPr="00BA1B00">
        <w:rPr>
          <w:szCs w:val="28"/>
        </w:rPr>
        <w:t>Изучение биораспределения и фармакокинетических параметров многофункциональных противораковых наночастиц</w:t>
      </w:r>
      <w:r w:rsidRPr="00BA1B00">
        <w:rPr>
          <w:szCs w:val="28"/>
        </w:rPr>
        <w:t xml:space="preserve">. </w:t>
      </w:r>
    </w:p>
    <w:p w:rsidR="00BA1B00" w:rsidRDefault="00BA1B00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DF741B" w:rsidRPr="00BA1B00" w:rsidRDefault="00DF741B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Паклитаксел</w:t>
      </w:r>
      <w:r w:rsidRPr="00BA1B00">
        <w:rPr>
          <w:szCs w:val="28"/>
          <w:lang w:val="en"/>
        </w:rPr>
        <w:t> </w:t>
      </w:r>
      <w:r w:rsidRPr="00BA1B00">
        <w:rPr>
          <w:szCs w:val="28"/>
        </w:rPr>
        <w:t>– противоопухолевый препарат растительного происхождения, который препятствует образованию митотического веретена делящихся клеток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Церамид</w:t>
      </w:r>
      <w:r w:rsidRPr="00BA1B00">
        <w:rPr>
          <w:szCs w:val="28"/>
          <w:lang w:val="en"/>
        </w:rPr>
        <w:t> </w:t>
      </w:r>
      <w:r w:rsidRPr="00BA1B00">
        <w:rPr>
          <w:szCs w:val="28"/>
        </w:rPr>
        <w:t>–липидный компонент мембраны, который является также сигнальной молекулой и вызывает апоптоз (программируемую клеточную смерть</w:t>
      </w:r>
      <w:r w:rsidR="00BA1B00" w:rsidRPr="00BA1B00">
        <w:rPr>
          <w:szCs w:val="28"/>
        </w:rPr>
        <w:t xml:space="preserve">) </w:t>
      </w:r>
      <w:r w:rsidRPr="00BA1B00">
        <w:rPr>
          <w:szCs w:val="28"/>
        </w:rPr>
        <w:t>в случаях повреждения клетки или нарушении клеточного</w:t>
      </w:r>
      <w:r w:rsidRPr="00BA1B00">
        <w:rPr>
          <w:szCs w:val="28"/>
          <w:lang w:val="en"/>
        </w:rPr>
        <w:t> </w:t>
      </w:r>
      <w:r w:rsidRPr="00BA1B00">
        <w:rPr>
          <w:szCs w:val="28"/>
        </w:rPr>
        <w:t>цикла</w:t>
      </w:r>
      <w:r w:rsidR="00BA1B00" w:rsidRPr="00BA1B00">
        <w:rPr>
          <w:szCs w:val="28"/>
        </w:rPr>
        <w:t xml:space="preserve">. </w:t>
      </w:r>
    </w:p>
    <w:p w:rsidR="00FE797B" w:rsidRPr="00BA1B00" w:rsidRDefault="00DF741B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Результаты работы, проведенной под руководством Мансура Амиджи (</w:t>
      </w:r>
      <w:r w:rsidRPr="00BA1B00">
        <w:rPr>
          <w:szCs w:val="28"/>
          <w:lang w:val="en"/>
        </w:rPr>
        <w:t>Mansoor</w:t>
      </w:r>
      <w:r w:rsidRPr="00BA1B00">
        <w:rPr>
          <w:szCs w:val="28"/>
        </w:rPr>
        <w:t xml:space="preserve"> </w:t>
      </w:r>
      <w:r w:rsidRPr="00BA1B00">
        <w:rPr>
          <w:szCs w:val="28"/>
          <w:lang w:val="en"/>
        </w:rPr>
        <w:t>Amiji</w:t>
      </w:r>
      <w:r w:rsidR="00BA1B00" w:rsidRPr="00BA1B00">
        <w:rPr>
          <w:szCs w:val="28"/>
        </w:rPr>
        <w:t>),</w:t>
      </w:r>
      <w:r w:rsidRPr="00BA1B00">
        <w:rPr>
          <w:szCs w:val="28"/>
        </w:rPr>
        <w:t xml:space="preserve"> были недавно опубликованы в журнале </w:t>
      </w:r>
      <w:r w:rsidRPr="00BA1B00">
        <w:rPr>
          <w:szCs w:val="28"/>
          <w:lang w:val="en"/>
        </w:rPr>
        <w:t>Molecular</w:t>
      </w:r>
      <w:r w:rsidRPr="00BA1B00">
        <w:rPr>
          <w:szCs w:val="28"/>
        </w:rPr>
        <w:t xml:space="preserve"> </w:t>
      </w:r>
      <w:r w:rsidRPr="00BA1B00">
        <w:rPr>
          <w:szCs w:val="28"/>
          <w:lang w:val="en"/>
        </w:rPr>
        <w:t>Pharmaceutics</w:t>
      </w:r>
      <w:r w:rsidRPr="00BA1B00">
        <w:rPr>
          <w:szCs w:val="28"/>
        </w:rPr>
        <w:t xml:space="preserve"> (</w:t>
      </w:r>
      <w:r w:rsidRPr="00E50E9D">
        <w:rPr>
          <w:szCs w:val="28"/>
          <w:lang w:val="en"/>
        </w:rPr>
        <w:t>Biodistribution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and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Pharmacokinetic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Analysis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of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Paclitaxel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and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Ceramide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Administered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in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Multifunctional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Polymer</w:t>
      </w:r>
      <w:r w:rsidRPr="00E50E9D">
        <w:rPr>
          <w:szCs w:val="28"/>
        </w:rPr>
        <w:t>-</w:t>
      </w:r>
      <w:r w:rsidRPr="00E50E9D">
        <w:rPr>
          <w:szCs w:val="28"/>
          <w:lang w:val="en"/>
        </w:rPr>
        <w:t>Blend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Nanoparticles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in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Drug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Resistant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Breast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Cancer</w:t>
      </w:r>
      <w:r w:rsidRPr="00E50E9D">
        <w:rPr>
          <w:szCs w:val="28"/>
        </w:rPr>
        <w:t xml:space="preserve"> </w:t>
      </w:r>
      <w:r w:rsidRPr="00E50E9D">
        <w:rPr>
          <w:szCs w:val="28"/>
          <w:lang w:val="en"/>
        </w:rPr>
        <w:t>Model</w:t>
      </w:r>
      <w:r w:rsidR="00BA1B00" w:rsidRPr="00BA1B00">
        <w:rPr>
          <w:szCs w:val="28"/>
        </w:rPr>
        <w:t xml:space="preserve">). </w:t>
      </w:r>
    </w:p>
    <w:p w:rsidR="00DF741B" w:rsidRPr="00BA1B00" w:rsidRDefault="00DF741B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В проведенном исследовании эти два лекарства были помещены в наночастицы, состоящие из двух полимеров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Первый полимер, поли(бета-аминоэфир</w:t>
      </w:r>
      <w:r w:rsidR="00BA1B00" w:rsidRPr="00BA1B00">
        <w:rPr>
          <w:szCs w:val="28"/>
        </w:rPr>
        <w:t>),</w:t>
      </w:r>
      <w:r w:rsidRPr="00BA1B00">
        <w:rPr>
          <w:szCs w:val="28"/>
        </w:rPr>
        <w:t xml:space="preserve"> </w:t>
      </w:r>
      <w:r w:rsidRPr="00BA1B00">
        <w:rPr>
          <w:szCs w:val="28"/>
          <w:lang w:val="en"/>
        </w:rPr>
        <w:t>PbAE</w:t>
      </w:r>
      <w:r w:rsidRPr="00BA1B00">
        <w:rPr>
          <w:szCs w:val="28"/>
        </w:rPr>
        <w:t>, быстро растворяется в закисленной среде внутри опухолевой клетки, высвобождая паклитаксел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Второй полимер, поли(</w:t>
      </w:r>
      <w:r w:rsidRPr="00BA1B00">
        <w:rPr>
          <w:szCs w:val="28"/>
          <w:lang w:val="en"/>
        </w:rPr>
        <w:t>d</w:t>
      </w:r>
      <w:r w:rsidRPr="00BA1B00">
        <w:rPr>
          <w:szCs w:val="28"/>
        </w:rPr>
        <w:t>,</w:t>
      </w:r>
      <w:r w:rsidRPr="00BA1B00">
        <w:rPr>
          <w:szCs w:val="28"/>
          <w:lang w:val="en"/>
        </w:rPr>
        <w:t>l</w:t>
      </w:r>
      <w:r w:rsidRPr="00BA1B00">
        <w:rPr>
          <w:szCs w:val="28"/>
        </w:rPr>
        <w:t>-лактид-ко-гликозид</w:t>
      </w:r>
      <w:r w:rsidR="00BA1B00" w:rsidRPr="00BA1B00">
        <w:rPr>
          <w:szCs w:val="28"/>
        </w:rPr>
        <w:t>),</w:t>
      </w:r>
      <w:r w:rsidRPr="00BA1B00">
        <w:rPr>
          <w:szCs w:val="28"/>
        </w:rPr>
        <w:t xml:space="preserve"> </w:t>
      </w:r>
      <w:r w:rsidRPr="00BA1B00">
        <w:rPr>
          <w:szCs w:val="28"/>
          <w:lang w:val="en"/>
        </w:rPr>
        <w:t>PLGA</w:t>
      </w:r>
      <w:r w:rsidRPr="00BA1B00">
        <w:rPr>
          <w:szCs w:val="28"/>
        </w:rPr>
        <w:t xml:space="preserve"> растворяется в тех же условиях более медленно, высвобождая церамид в фазе когда в раковой клетке уже произошли изменения и сформировалась резистентность, и когда клетка готова вступить в апоптоз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Известно, что резистентные опухолевые клетки способны понижать природную концентрацию церамида, разрушая его молекулы, поэтому дополнительный церамид помогает протеканию природного процесса</w:t>
      </w:r>
      <w:r w:rsidR="00BA1B00" w:rsidRPr="00BA1B00">
        <w:rPr>
          <w:szCs w:val="28"/>
        </w:rPr>
        <w:t xml:space="preserve">. </w:t>
      </w:r>
    </w:p>
    <w:p w:rsidR="00BA1B00" w:rsidRDefault="00DF741B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A1B00">
        <w:rPr>
          <w:szCs w:val="28"/>
        </w:rPr>
        <w:t>В мышиной модели человеческого рака груди с применением этих наночастиц ученые измеряли концентрацию лекарств в крови и в непосредственной близости к опухоли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Смесь двух видов наночастиц превосходно поддерживала высокий уровень лекарств в организме мышей, а их высвобождение и накопление наблюдалось в самих опухолях</w:t>
      </w:r>
      <w:r w:rsidR="00BA1B00" w:rsidRPr="00BA1B00">
        <w:rPr>
          <w:szCs w:val="28"/>
        </w:rPr>
        <w:t xml:space="preserve">. </w:t>
      </w:r>
      <w:r w:rsidRPr="00BA1B00">
        <w:rPr>
          <w:szCs w:val="28"/>
        </w:rPr>
        <w:t>В данном исследовании не ставилась задача выявить терапевтический эффект, изучению которого бу</w:t>
      </w:r>
      <w:r w:rsidR="00FE797B" w:rsidRPr="00BA1B00">
        <w:rPr>
          <w:szCs w:val="28"/>
        </w:rPr>
        <w:t>дут посвящены дальнейшие работы /2/</w:t>
      </w:r>
      <w:r w:rsidR="00BA1B00" w:rsidRPr="00BA1B00">
        <w:rPr>
          <w:szCs w:val="28"/>
        </w:rPr>
        <w:t xml:space="preserve">. </w:t>
      </w:r>
    </w:p>
    <w:p w:rsidR="00900586" w:rsidRPr="00BA1B00" w:rsidRDefault="000D6F9F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27" type="#_x0000_t75" style="width:434.25pt;height:618pt">
            <v:imagedata r:id="rId10" o:title="" gain="1.5625" blacklevel="3932f"/>
          </v:shape>
        </w:pict>
      </w:r>
    </w:p>
    <w:p w:rsidR="00BA1B00" w:rsidRPr="00BA1B00" w:rsidRDefault="000D6F9F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28" type="#_x0000_t75" style="width:423.75pt;height:607.5pt">
            <v:imagedata r:id="rId11" o:title="" gain="1.5625" blacklevel="3932f"/>
          </v:shape>
        </w:pict>
      </w:r>
    </w:p>
    <w:p w:rsidR="00BA1B00" w:rsidRPr="00BA1B00" w:rsidRDefault="000D6F9F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29" type="#_x0000_t75" style="width:426pt;height:602.25pt">
            <v:imagedata r:id="rId12" o:title="" gain="86232f" blacklevel="3932f"/>
          </v:shape>
        </w:pict>
      </w:r>
    </w:p>
    <w:p w:rsidR="00BA1B00" w:rsidRPr="00BA1B00" w:rsidRDefault="000D6F9F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0" type="#_x0000_t75" style="width:421.5pt;height:579.75pt">
            <v:imagedata r:id="rId13" o:title="" blacklevel="3932f"/>
          </v:shape>
        </w:pict>
      </w:r>
    </w:p>
    <w:p w:rsidR="00BA1B00" w:rsidRPr="00BA1B00" w:rsidRDefault="000D6F9F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1" type="#_x0000_t75" style="width:447.75pt;height:651.75pt">
            <v:imagedata r:id="rId14" o:title="" gain="86232f" blacklevel="3932f"/>
          </v:shape>
        </w:pict>
      </w:r>
    </w:p>
    <w:p w:rsidR="00BA1B00" w:rsidRPr="00BA1B00" w:rsidRDefault="000D6F9F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2" type="#_x0000_t75" style="width:408.75pt;height:585.75pt">
            <v:imagedata r:id="rId15" o:title="" gain="1.5625" blacklevel="3932f"/>
          </v:shape>
        </w:pict>
      </w:r>
    </w:p>
    <w:p w:rsidR="004F40DF" w:rsidRPr="00BA1B00" w:rsidRDefault="00BA1B00" w:rsidP="00BA1B00">
      <w:pPr>
        <w:pStyle w:val="2"/>
      </w:pPr>
      <w:r>
        <w:br w:type="page"/>
      </w:r>
      <w:r w:rsidR="004F40DF" w:rsidRPr="00BA1B00">
        <w:t>Список используемых источников</w:t>
      </w:r>
    </w:p>
    <w:p w:rsidR="00BA1B00" w:rsidRDefault="00BA1B00" w:rsidP="00BA1B0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4F40DF" w:rsidRPr="00BA1B00" w:rsidRDefault="004F40DF" w:rsidP="00BA1B00">
      <w:pPr>
        <w:pStyle w:val="a1"/>
        <w:tabs>
          <w:tab w:val="left" w:pos="560"/>
        </w:tabs>
        <w:ind w:firstLine="0"/>
      </w:pPr>
      <w:r w:rsidRPr="00E50E9D">
        <w:rPr>
          <w:lang w:val="en-US"/>
        </w:rPr>
        <w:t>www</w:t>
      </w:r>
      <w:r w:rsidR="00BA1B00" w:rsidRPr="00E50E9D">
        <w:t xml:space="preserve">. </w:t>
      </w:r>
      <w:r w:rsidRPr="00E50E9D">
        <w:rPr>
          <w:lang w:val="en-US"/>
        </w:rPr>
        <w:t>evropolimer</w:t>
      </w:r>
      <w:r w:rsidR="00BA1B00" w:rsidRPr="00E50E9D">
        <w:t xml:space="preserve">. </w:t>
      </w:r>
      <w:r w:rsidRPr="00E50E9D">
        <w:rPr>
          <w:lang w:val="en-US"/>
        </w:rPr>
        <w:t>com</w:t>
      </w:r>
    </w:p>
    <w:p w:rsidR="004F40DF" w:rsidRPr="00BA1B00" w:rsidRDefault="004F40DF" w:rsidP="00BA1B00">
      <w:pPr>
        <w:pStyle w:val="a1"/>
        <w:tabs>
          <w:tab w:val="left" w:pos="560"/>
        </w:tabs>
        <w:ind w:firstLine="0"/>
        <w:rPr>
          <w:lang w:val="en-US"/>
        </w:rPr>
      </w:pPr>
      <w:r w:rsidRPr="00BA1B00">
        <w:rPr>
          <w:lang w:val="en-US"/>
        </w:rPr>
        <w:t>www</w:t>
      </w:r>
      <w:r w:rsidR="00BA1B00" w:rsidRPr="00BA1B00">
        <w:rPr>
          <w:lang w:val="en-US"/>
        </w:rPr>
        <w:t xml:space="preserve">. </w:t>
      </w:r>
      <w:r w:rsidRPr="00BA1B00">
        <w:rPr>
          <w:lang w:val="en-US"/>
        </w:rPr>
        <w:t>nanonewsnet</w:t>
      </w:r>
      <w:r w:rsidR="00BA1B00" w:rsidRPr="00BA1B00">
        <w:rPr>
          <w:lang w:val="en-US"/>
        </w:rPr>
        <w:t xml:space="preserve">. </w:t>
      </w:r>
      <w:r w:rsidRPr="00BA1B00">
        <w:rPr>
          <w:lang w:val="en-US"/>
        </w:rPr>
        <w:t>ru</w:t>
      </w:r>
    </w:p>
    <w:p w:rsidR="00BA1B00" w:rsidRPr="00BA1B00" w:rsidRDefault="004F40DF" w:rsidP="00BA1B00">
      <w:pPr>
        <w:pStyle w:val="a1"/>
        <w:tabs>
          <w:tab w:val="left" w:pos="560"/>
        </w:tabs>
        <w:ind w:firstLine="0"/>
        <w:rPr>
          <w:lang w:val="en-US"/>
        </w:rPr>
      </w:pPr>
      <w:r w:rsidRPr="00BA1B00">
        <w:rPr>
          <w:lang w:val="en-US"/>
        </w:rPr>
        <w:t>www</w:t>
      </w:r>
      <w:r w:rsidR="00BA1B00" w:rsidRPr="00BA1B00">
        <w:rPr>
          <w:lang w:val="en-US"/>
        </w:rPr>
        <w:t xml:space="preserve">. </w:t>
      </w:r>
      <w:r w:rsidRPr="00BA1B00">
        <w:rPr>
          <w:lang w:val="en-US"/>
        </w:rPr>
        <w:t>school-collection</w:t>
      </w:r>
      <w:r w:rsidR="00BA1B00" w:rsidRPr="00BA1B00">
        <w:rPr>
          <w:lang w:val="en-US"/>
        </w:rPr>
        <w:t xml:space="preserve">. </w:t>
      </w:r>
      <w:r w:rsidRPr="00BA1B00">
        <w:rPr>
          <w:lang w:val="en-US"/>
        </w:rPr>
        <w:t>edu</w:t>
      </w:r>
      <w:r w:rsidR="00BA1B00" w:rsidRPr="00BA1B00">
        <w:rPr>
          <w:lang w:val="en-US"/>
        </w:rPr>
        <w:t xml:space="preserve">. </w:t>
      </w:r>
      <w:r w:rsidRPr="00BA1B00">
        <w:rPr>
          <w:lang w:val="en-US"/>
        </w:rPr>
        <w:t>ru</w:t>
      </w:r>
      <w:r w:rsidR="00BA1B00" w:rsidRPr="00BA1B00">
        <w:rPr>
          <w:lang w:val="en-US"/>
        </w:rPr>
        <w:t xml:space="preserve">. </w:t>
      </w:r>
    </w:p>
    <w:p w:rsidR="004F40DF" w:rsidRPr="00BA1B00" w:rsidRDefault="004F40DF" w:rsidP="00BA1B00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  <w:bookmarkStart w:id="0" w:name="_GoBack"/>
      <w:bookmarkEnd w:id="0"/>
    </w:p>
    <w:sectPr w:rsidR="004F40DF" w:rsidRPr="00BA1B00" w:rsidSect="00BA1B0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283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8F0" w:rsidRDefault="000D48F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separator/>
      </w:r>
    </w:p>
  </w:endnote>
  <w:endnote w:type="continuationSeparator" w:id="0">
    <w:p w:rsidR="000D48F0" w:rsidRDefault="000D48F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00" w:rsidRDefault="00BA1B00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00" w:rsidRDefault="00BA1B00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00" w:rsidRDefault="00BA1B00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8F0" w:rsidRDefault="000D48F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separator/>
      </w:r>
    </w:p>
  </w:footnote>
  <w:footnote w:type="continuationSeparator" w:id="0">
    <w:p w:rsidR="000D48F0" w:rsidRDefault="000D48F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00" w:rsidRDefault="00BA1B00" w:rsidP="00BA1B00">
    <w:pPr>
      <w:pStyle w:val="a7"/>
      <w:framePr w:wrap="around" w:vAnchor="text" w:hAnchor="margin" w:xAlign="right" w:y="1"/>
      <w:rPr>
        <w:rStyle w:val="af4"/>
      </w:rPr>
    </w:pPr>
  </w:p>
  <w:p w:rsidR="00BA1B00" w:rsidRDefault="00BA1B00" w:rsidP="00BA1B00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00" w:rsidRDefault="00E50E9D" w:rsidP="00BA1B00">
    <w:pPr>
      <w:pStyle w:val="a7"/>
      <w:framePr w:wrap="around" w:vAnchor="text" w:hAnchor="margin" w:xAlign="right" w:y="1"/>
      <w:rPr>
        <w:rStyle w:val="af4"/>
      </w:rPr>
    </w:pPr>
    <w:r>
      <w:rPr>
        <w:rStyle w:val="af4"/>
      </w:rPr>
      <w:t>2</w:t>
    </w:r>
  </w:p>
  <w:p w:rsidR="00BA1B00" w:rsidRDefault="00BA1B00" w:rsidP="00BA1B00">
    <w:pPr>
      <w:pStyle w:val="a7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00" w:rsidRDefault="00BA1B0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88387A"/>
    <w:multiLevelType w:val="hybridMultilevel"/>
    <w:tmpl w:val="A7F4B16A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8D57DE8"/>
    <w:multiLevelType w:val="hybridMultilevel"/>
    <w:tmpl w:val="12F498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0586"/>
    <w:rsid w:val="000D48F0"/>
    <w:rsid w:val="000D5CDD"/>
    <w:rsid w:val="000D6F9F"/>
    <w:rsid w:val="00170477"/>
    <w:rsid w:val="001F3307"/>
    <w:rsid w:val="004A672B"/>
    <w:rsid w:val="004F40DF"/>
    <w:rsid w:val="00593786"/>
    <w:rsid w:val="005E7A18"/>
    <w:rsid w:val="006F77A8"/>
    <w:rsid w:val="00794E14"/>
    <w:rsid w:val="00900586"/>
    <w:rsid w:val="00A018A0"/>
    <w:rsid w:val="00AC429D"/>
    <w:rsid w:val="00B63998"/>
    <w:rsid w:val="00BA1B00"/>
    <w:rsid w:val="00DF741B"/>
    <w:rsid w:val="00DF7EF9"/>
    <w:rsid w:val="00E50E9D"/>
    <w:rsid w:val="00E62B5F"/>
    <w:rsid w:val="00FE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efaultImageDpi w14:val="0"/>
  <w15:chartTrackingRefBased/>
  <w15:docId w15:val="{4A9C713B-8444-45D3-AC6F-D122B6751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99"/>
    <w:qFormat/>
    <w:rsid w:val="00BA1B00"/>
    <w:pPr>
      <w:spacing w:line="360" w:lineRule="auto"/>
      <w:ind w:firstLine="720"/>
      <w:jc w:val="both"/>
    </w:pPr>
    <w:rPr>
      <w:sz w:val="28"/>
    </w:rPr>
  </w:style>
  <w:style w:type="paragraph" w:styleId="1">
    <w:name w:val="heading 1"/>
    <w:basedOn w:val="a2"/>
    <w:next w:val="a2"/>
    <w:link w:val="10"/>
    <w:uiPriority w:val="99"/>
    <w:qFormat/>
    <w:rsid w:val="00BA1B00"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  <w:szCs w:val="28"/>
    </w:rPr>
  </w:style>
  <w:style w:type="paragraph" w:styleId="2">
    <w:name w:val="heading 2"/>
    <w:basedOn w:val="a2"/>
    <w:next w:val="a2"/>
    <w:link w:val="20"/>
    <w:autoRedefine/>
    <w:uiPriority w:val="99"/>
    <w:qFormat/>
    <w:rsid w:val="00BA1B00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jc w:val="center"/>
      <w:outlineLvl w:val="1"/>
    </w:pPr>
    <w:rPr>
      <w:b/>
      <w:bCs/>
      <w:i/>
      <w:iCs/>
      <w:smallCaps/>
      <w:noProof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BA1B00"/>
    <w:pPr>
      <w:keepNext/>
      <w:widowControl w:val="0"/>
      <w:autoSpaceDE w:val="0"/>
      <w:autoSpaceDN w:val="0"/>
      <w:adjustRightInd w:val="0"/>
      <w:ind w:firstLine="709"/>
      <w:outlineLvl w:val="2"/>
    </w:pPr>
    <w:rPr>
      <w:b/>
      <w:bCs/>
      <w:noProof/>
      <w:szCs w:val="28"/>
    </w:rPr>
  </w:style>
  <w:style w:type="paragraph" w:styleId="4">
    <w:name w:val="heading 4"/>
    <w:basedOn w:val="a2"/>
    <w:next w:val="a2"/>
    <w:link w:val="40"/>
    <w:uiPriority w:val="99"/>
    <w:qFormat/>
    <w:rsid w:val="00BA1B00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i/>
      <w:iCs/>
      <w:noProof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BA1B00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  <w:rPr>
      <w:szCs w:val="28"/>
    </w:rPr>
  </w:style>
  <w:style w:type="paragraph" w:styleId="6">
    <w:name w:val="heading 6"/>
    <w:basedOn w:val="a2"/>
    <w:next w:val="a2"/>
    <w:link w:val="60"/>
    <w:uiPriority w:val="99"/>
    <w:qFormat/>
    <w:rsid w:val="00BA1B00"/>
    <w:pPr>
      <w:keepNext/>
      <w:widowControl w:val="0"/>
      <w:autoSpaceDE w:val="0"/>
      <w:autoSpaceDN w:val="0"/>
      <w:adjustRightInd w:val="0"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BA1B00"/>
    <w:pPr>
      <w:keepNext/>
      <w:widowControl w:val="0"/>
      <w:autoSpaceDE w:val="0"/>
      <w:autoSpaceDN w:val="0"/>
      <w:adjustRightInd w:val="0"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BA1B00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styleId="a6">
    <w:name w:val="Hyperlink"/>
    <w:uiPriority w:val="99"/>
    <w:rsid w:val="00BA1B00"/>
    <w:rPr>
      <w:rFonts w:cs="Times New Roman"/>
      <w:color w:val="0000FF"/>
      <w:u w:val="single"/>
    </w:rPr>
  </w:style>
  <w:style w:type="paragraph" w:styleId="a7">
    <w:name w:val="header"/>
    <w:basedOn w:val="a2"/>
    <w:next w:val="a8"/>
    <w:link w:val="a9"/>
    <w:uiPriority w:val="99"/>
    <w:rsid w:val="00BA1B0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0"/>
      <w:jc w:val="right"/>
    </w:pPr>
    <w:rPr>
      <w:noProof/>
      <w:kern w:val="16"/>
      <w:szCs w:val="28"/>
    </w:rPr>
  </w:style>
  <w:style w:type="character" w:styleId="aa">
    <w:name w:val="endnote reference"/>
    <w:uiPriority w:val="99"/>
    <w:semiHidden/>
    <w:rsid w:val="00BA1B00"/>
    <w:rPr>
      <w:rFonts w:cs="Times New Roman"/>
      <w:vertAlign w:val="superscript"/>
    </w:rPr>
  </w:style>
  <w:style w:type="paragraph" w:styleId="a8">
    <w:name w:val="Body Text"/>
    <w:basedOn w:val="a2"/>
    <w:link w:val="ab"/>
    <w:uiPriority w:val="99"/>
    <w:rsid w:val="00BA1B00"/>
    <w:pPr>
      <w:widowControl w:val="0"/>
      <w:autoSpaceDE w:val="0"/>
      <w:autoSpaceDN w:val="0"/>
      <w:adjustRightInd w:val="0"/>
      <w:ind w:firstLine="709"/>
    </w:pPr>
    <w:rPr>
      <w:szCs w:val="28"/>
    </w:rPr>
  </w:style>
  <w:style w:type="character" w:customStyle="1" w:styleId="ab">
    <w:name w:val="Основной текст Знак"/>
    <w:link w:val="a8"/>
    <w:uiPriority w:val="99"/>
    <w:semiHidden/>
    <w:rPr>
      <w:sz w:val="28"/>
      <w:szCs w:val="20"/>
    </w:rPr>
  </w:style>
  <w:style w:type="paragraph" w:customStyle="1" w:styleId="ac">
    <w:name w:val="выделение"/>
    <w:uiPriority w:val="99"/>
    <w:rsid w:val="00BA1B00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1">
    <w:name w:val="Заголовок 2 дипл"/>
    <w:basedOn w:val="a2"/>
    <w:next w:val="ad"/>
    <w:uiPriority w:val="99"/>
    <w:rsid w:val="00BA1B00"/>
    <w:pPr>
      <w:widowControl w:val="0"/>
      <w:autoSpaceDE w:val="0"/>
      <w:autoSpaceDN w:val="0"/>
      <w:adjustRightInd w:val="0"/>
      <w:ind w:firstLine="709"/>
    </w:pPr>
    <w:rPr>
      <w:szCs w:val="28"/>
      <w:lang w:val="en-US" w:eastAsia="en-US"/>
    </w:rPr>
  </w:style>
  <w:style w:type="paragraph" w:styleId="ad">
    <w:name w:val="Body Text Indent"/>
    <w:basedOn w:val="a2"/>
    <w:link w:val="ae"/>
    <w:uiPriority w:val="99"/>
    <w:rsid w:val="00BA1B00"/>
    <w:pPr>
      <w:widowControl w:val="0"/>
      <w:shd w:val="clear" w:color="auto" w:fill="FFFFFF"/>
      <w:autoSpaceDE w:val="0"/>
      <w:autoSpaceDN w:val="0"/>
      <w:adjustRightInd w:val="0"/>
      <w:spacing w:before="192"/>
      <w:ind w:right="-5" w:firstLine="360"/>
    </w:pPr>
    <w:rPr>
      <w:szCs w:val="28"/>
    </w:rPr>
  </w:style>
  <w:style w:type="character" w:customStyle="1" w:styleId="ae">
    <w:name w:val="Основной текст с отступом Знак"/>
    <w:link w:val="ad"/>
    <w:uiPriority w:val="99"/>
    <w:semiHidden/>
    <w:rPr>
      <w:sz w:val="28"/>
      <w:szCs w:val="20"/>
    </w:rPr>
  </w:style>
  <w:style w:type="character" w:customStyle="1" w:styleId="11">
    <w:name w:val="Текст Знак1"/>
    <w:link w:val="af"/>
    <w:uiPriority w:val="99"/>
    <w:locked/>
    <w:rsid w:val="00BA1B00"/>
    <w:rPr>
      <w:rFonts w:ascii="Consolas" w:eastAsia="Times New Roman" w:hAnsi="Consolas" w:cs="Consolas"/>
      <w:sz w:val="21"/>
      <w:szCs w:val="21"/>
      <w:lang w:val="uk-UA" w:eastAsia="en-US" w:bidi="ar-SA"/>
    </w:rPr>
  </w:style>
  <w:style w:type="paragraph" w:styleId="af">
    <w:name w:val="Plain Text"/>
    <w:basedOn w:val="a2"/>
    <w:link w:val="11"/>
    <w:uiPriority w:val="99"/>
    <w:rsid w:val="00BA1B00"/>
    <w:pPr>
      <w:widowControl w:val="0"/>
      <w:autoSpaceDE w:val="0"/>
      <w:autoSpaceDN w:val="0"/>
      <w:adjustRightInd w:val="0"/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0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Нижний колонтитул Знак1"/>
    <w:link w:val="af1"/>
    <w:uiPriority w:val="99"/>
    <w:semiHidden/>
    <w:locked/>
    <w:rsid w:val="00BA1B00"/>
    <w:rPr>
      <w:rFonts w:cs="Times New Roman"/>
      <w:sz w:val="28"/>
      <w:szCs w:val="28"/>
      <w:lang w:val="ru-RU" w:eastAsia="ru-RU" w:bidi="ar-SA"/>
    </w:rPr>
  </w:style>
  <w:style w:type="paragraph" w:styleId="af1">
    <w:name w:val="footer"/>
    <w:basedOn w:val="a2"/>
    <w:link w:val="12"/>
    <w:uiPriority w:val="99"/>
    <w:semiHidden/>
    <w:rsid w:val="00BA1B00"/>
    <w:pPr>
      <w:widowControl w:val="0"/>
      <w:tabs>
        <w:tab w:val="center" w:pos="4819"/>
        <w:tab w:val="right" w:pos="9639"/>
      </w:tabs>
      <w:autoSpaceDE w:val="0"/>
      <w:autoSpaceDN w:val="0"/>
      <w:adjustRightInd w:val="0"/>
      <w:ind w:firstLine="709"/>
    </w:pPr>
    <w:rPr>
      <w:szCs w:val="28"/>
    </w:rPr>
  </w:style>
  <w:style w:type="character" w:customStyle="1" w:styleId="af2">
    <w:name w:val="Нижний колонтитул Знак"/>
    <w:uiPriority w:val="99"/>
    <w:semiHidden/>
    <w:rPr>
      <w:sz w:val="28"/>
      <w:szCs w:val="20"/>
    </w:rPr>
  </w:style>
  <w:style w:type="character" w:customStyle="1" w:styleId="a9">
    <w:name w:val="Верхний колонтитул Знак"/>
    <w:link w:val="a7"/>
    <w:uiPriority w:val="99"/>
    <w:semiHidden/>
    <w:locked/>
    <w:rsid w:val="00BA1B00"/>
    <w:rPr>
      <w:rFonts w:cs="Times New Roman"/>
      <w:noProof/>
      <w:kern w:val="16"/>
      <w:sz w:val="28"/>
      <w:szCs w:val="28"/>
      <w:lang w:val="ru-RU" w:eastAsia="ru-RU" w:bidi="ar-SA"/>
    </w:rPr>
  </w:style>
  <w:style w:type="character" w:styleId="af3">
    <w:name w:val="footnote reference"/>
    <w:uiPriority w:val="99"/>
    <w:semiHidden/>
    <w:rsid w:val="00BA1B00"/>
    <w:rPr>
      <w:rFonts w:cs="Times New Roman"/>
      <w:sz w:val="28"/>
      <w:szCs w:val="28"/>
      <w:vertAlign w:val="superscript"/>
    </w:rPr>
  </w:style>
  <w:style w:type="paragraph" w:customStyle="1" w:styleId="a0">
    <w:name w:val="лит"/>
    <w:basedOn w:val="a2"/>
    <w:autoRedefine/>
    <w:uiPriority w:val="99"/>
    <w:rsid w:val="00BA1B00"/>
    <w:pPr>
      <w:widowControl w:val="0"/>
      <w:numPr>
        <w:numId w:val="2"/>
      </w:numPr>
      <w:autoSpaceDE w:val="0"/>
      <w:autoSpaceDN w:val="0"/>
      <w:adjustRightInd w:val="0"/>
      <w:jc w:val="left"/>
    </w:pPr>
    <w:rPr>
      <w:szCs w:val="28"/>
    </w:rPr>
  </w:style>
  <w:style w:type="character" w:styleId="af4">
    <w:name w:val="page number"/>
    <w:uiPriority w:val="99"/>
    <w:rsid w:val="00BA1B00"/>
    <w:rPr>
      <w:rFonts w:cs="Times New Roman"/>
    </w:rPr>
  </w:style>
  <w:style w:type="character" w:customStyle="1" w:styleId="af5">
    <w:name w:val="номер страницы"/>
    <w:uiPriority w:val="99"/>
    <w:rsid w:val="00BA1B00"/>
    <w:rPr>
      <w:rFonts w:cs="Times New Roman"/>
      <w:sz w:val="28"/>
      <w:szCs w:val="28"/>
    </w:rPr>
  </w:style>
  <w:style w:type="paragraph" w:styleId="af6">
    <w:name w:val="Normal (Web)"/>
    <w:basedOn w:val="a2"/>
    <w:uiPriority w:val="99"/>
    <w:rsid w:val="00BA1B00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szCs w:val="28"/>
      <w:lang w:val="uk-UA" w:eastAsia="uk-UA"/>
    </w:rPr>
  </w:style>
  <w:style w:type="paragraph" w:styleId="13">
    <w:name w:val="toc 1"/>
    <w:basedOn w:val="a2"/>
    <w:next w:val="a2"/>
    <w:autoRedefine/>
    <w:uiPriority w:val="99"/>
    <w:semiHidden/>
    <w:rsid w:val="00BA1B00"/>
    <w:pPr>
      <w:widowControl w:val="0"/>
      <w:autoSpaceDE w:val="0"/>
      <w:autoSpaceDN w:val="0"/>
      <w:adjustRightInd w:val="0"/>
      <w:spacing w:before="120" w:after="120"/>
      <w:ind w:firstLine="709"/>
      <w:jc w:val="left"/>
    </w:pPr>
    <w:rPr>
      <w:bCs/>
      <w:smallCaps/>
      <w:szCs w:val="28"/>
    </w:rPr>
  </w:style>
  <w:style w:type="paragraph" w:styleId="22">
    <w:name w:val="toc 2"/>
    <w:basedOn w:val="a2"/>
    <w:next w:val="a2"/>
    <w:autoRedefine/>
    <w:uiPriority w:val="99"/>
    <w:semiHidden/>
    <w:rsid w:val="00BA1B00"/>
    <w:pPr>
      <w:widowControl w:val="0"/>
      <w:autoSpaceDE w:val="0"/>
      <w:autoSpaceDN w:val="0"/>
      <w:adjustRightInd w:val="0"/>
      <w:ind w:left="278" w:firstLine="0"/>
      <w:jc w:val="left"/>
    </w:pPr>
    <w:rPr>
      <w:smallCaps/>
      <w:szCs w:val="28"/>
    </w:rPr>
  </w:style>
  <w:style w:type="paragraph" w:styleId="31">
    <w:name w:val="toc 3"/>
    <w:basedOn w:val="a2"/>
    <w:next w:val="a2"/>
    <w:autoRedefine/>
    <w:uiPriority w:val="99"/>
    <w:semiHidden/>
    <w:rsid w:val="00BA1B00"/>
    <w:pPr>
      <w:widowControl w:val="0"/>
      <w:autoSpaceDE w:val="0"/>
      <w:autoSpaceDN w:val="0"/>
      <w:adjustRightInd w:val="0"/>
      <w:ind w:firstLine="0"/>
      <w:jc w:val="left"/>
    </w:pPr>
    <w:rPr>
      <w:iCs/>
      <w:szCs w:val="28"/>
    </w:rPr>
  </w:style>
  <w:style w:type="paragraph" w:styleId="41">
    <w:name w:val="toc 4"/>
    <w:basedOn w:val="a2"/>
    <w:next w:val="a2"/>
    <w:autoRedefine/>
    <w:uiPriority w:val="99"/>
    <w:semiHidden/>
    <w:rsid w:val="00BA1B00"/>
    <w:pPr>
      <w:widowControl w:val="0"/>
      <w:tabs>
        <w:tab w:val="right" w:leader="dot" w:pos="9345"/>
      </w:tabs>
      <w:autoSpaceDE w:val="0"/>
      <w:autoSpaceDN w:val="0"/>
      <w:adjustRightInd w:val="0"/>
      <w:ind w:firstLine="0"/>
    </w:pPr>
    <w:rPr>
      <w:noProof/>
      <w:szCs w:val="28"/>
    </w:rPr>
  </w:style>
  <w:style w:type="paragraph" w:styleId="51">
    <w:name w:val="toc 5"/>
    <w:basedOn w:val="a2"/>
    <w:next w:val="a2"/>
    <w:autoRedefine/>
    <w:uiPriority w:val="99"/>
    <w:semiHidden/>
    <w:rsid w:val="00BA1B00"/>
    <w:pPr>
      <w:widowControl w:val="0"/>
      <w:autoSpaceDE w:val="0"/>
      <w:autoSpaceDN w:val="0"/>
      <w:adjustRightInd w:val="0"/>
      <w:ind w:left="958" w:firstLine="709"/>
    </w:pPr>
    <w:rPr>
      <w:szCs w:val="28"/>
    </w:rPr>
  </w:style>
  <w:style w:type="paragraph" w:styleId="23">
    <w:name w:val="Body Text Indent 2"/>
    <w:basedOn w:val="a2"/>
    <w:link w:val="24"/>
    <w:uiPriority w:val="99"/>
    <w:rsid w:val="00BA1B00"/>
    <w:pPr>
      <w:widowControl w:val="0"/>
      <w:shd w:val="clear" w:color="auto" w:fill="FFFFFF"/>
      <w:tabs>
        <w:tab w:val="left" w:pos="163"/>
      </w:tabs>
      <w:autoSpaceDE w:val="0"/>
      <w:autoSpaceDN w:val="0"/>
      <w:adjustRightInd w:val="0"/>
      <w:ind w:firstLine="360"/>
    </w:pPr>
    <w:rPr>
      <w:szCs w:val="28"/>
    </w:rPr>
  </w:style>
  <w:style w:type="character" w:customStyle="1" w:styleId="24">
    <w:name w:val="Основной текст с отступом 2 Знак"/>
    <w:link w:val="23"/>
    <w:uiPriority w:val="99"/>
    <w:semiHidden/>
    <w:rPr>
      <w:sz w:val="28"/>
      <w:szCs w:val="20"/>
    </w:rPr>
  </w:style>
  <w:style w:type="paragraph" w:styleId="32">
    <w:name w:val="Body Text Indent 3"/>
    <w:basedOn w:val="a2"/>
    <w:link w:val="33"/>
    <w:uiPriority w:val="99"/>
    <w:rsid w:val="00BA1B00"/>
    <w:pPr>
      <w:widowControl w:val="0"/>
      <w:shd w:val="clear" w:color="auto" w:fill="FFFFFF"/>
      <w:tabs>
        <w:tab w:val="left" w:pos="4262"/>
        <w:tab w:val="left" w:pos="5640"/>
      </w:tabs>
      <w:autoSpaceDE w:val="0"/>
      <w:autoSpaceDN w:val="0"/>
      <w:adjustRightInd w:val="0"/>
      <w:ind w:left="720" w:firstLine="709"/>
    </w:pPr>
    <w:rPr>
      <w:szCs w:val="28"/>
    </w:r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paragraph" w:customStyle="1" w:styleId="a">
    <w:name w:val="список ненумерованный"/>
    <w:autoRedefine/>
    <w:uiPriority w:val="99"/>
    <w:rsid w:val="00BA1B00"/>
    <w:pPr>
      <w:numPr>
        <w:numId w:val="3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BA1B00"/>
    <w:pPr>
      <w:numPr>
        <w:numId w:val="4"/>
      </w:numPr>
      <w:tabs>
        <w:tab w:val="num" w:pos="1080"/>
      </w:tabs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BA1B00"/>
    <w:pPr>
      <w:ind w:firstLine="0"/>
    </w:pPr>
    <w:rPr>
      <w:b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BA1B00"/>
    <w:pPr>
      <w:ind w:firstLine="0"/>
    </w:pPr>
    <w:rPr>
      <w:b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BA1B00"/>
    <w:pPr>
      <w:ind w:left="0"/>
    </w:pPr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BA1B00"/>
    <w:rPr>
      <w:i/>
    </w:rPr>
  </w:style>
  <w:style w:type="paragraph" w:customStyle="1" w:styleId="af7">
    <w:name w:val="схема"/>
    <w:basedOn w:val="a2"/>
    <w:autoRedefine/>
    <w:uiPriority w:val="99"/>
    <w:rsid w:val="00BA1B00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sz w:val="20"/>
    </w:rPr>
  </w:style>
  <w:style w:type="paragraph" w:customStyle="1" w:styleId="af8">
    <w:name w:val="ТАБЛИЦА"/>
    <w:next w:val="a2"/>
    <w:autoRedefine/>
    <w:uiPriority w:val="99"/>
    <w:rsid w:val="00BA1B00"/>
    <w:pPr>
      <w:spacing w:line="360" w:lineRule="auto"/>
    </w:pPr>
    <w:rPr>
      <w:color w:val="000000"/>
    </w:rPr>
  </w:style>
  <w:style w:type="paragraph" w:styleId="af9">
    <w:name w:val="endnote text"/>
    <w:basedOn w:val="a2"/>
    <w:link w:val="afa"/>
    <w:uiPriority w:val="99"/>
    <w:semiHidden/>
    <w:rsid w:val="00BA1B00"/>
    <w:pPr>
      <w:widowControl w:val="0"/>
      <w:autoSpaceDE w:val="0"/>
      <w:autoSpaceDN w:val="0"/>
      <w:adjustRightInd w:val="0"/>
      <w:ind w:firstLine="709"/>
    </w:pPr>
    <w:rPr>
      <w:sz w:val="20"/>
    </w:rPr>
  </w:style>
  <w:style w:type="character" w:customStyle="1" w:styleId="afa">
    <w:name w:val="Текст концевой сноски Знак"/>
    <w:link w:val="af9"/>
    <w:uiPriority w:val="99"/>
    <w:semiHidden/>
    <w:rPr>
      <w:sz w:val="20"/>
      <w:szCs w:val="20"/>
    </w:rPr>
  </w:style>
  <w:style w:type="paragraph" w:styleId="afb">
    <w:name w:val="footnote text"/>
    <w:basedOn w:val="a2"/>
    <w:link w:val="afc"/>
    <w:autoRedefine/>
    <w:uiPriority w:val="99"/>
    <w:semiHidden/>
    <w:rsid w:val="00BA1B00"/>
    <w:pPr>
      <w:autoSpaceDE w:val="0"/>
      <w:autoSpaceDN w:val="0"/>
      <w:ind w:firstLine="709"/>
    </w:pPr>
    <w:rPr>
      <w:sz w:val="20"/>
      <w:szCs w:val="28"/>
    </w:rPr>
  </w:style>
  <w:style w:type="character" w:customStyle="1" w:styleId="afc">
    <w:name w:val="Текст сноски Знак"/>
    <w:link w:val="afb"/>
    <w:uiPriority w:val="99"/>
    <w:semiHidden/>
    <w:rPr>
      <w:sz w:val="20"/>
      <w:szCs w:val="20"/>
    </w:rPr>
  </w:style>
  <w:style w:type="paragraph" w:customStyle="1" w:styleId="afd">
    <w:name w:val="титут"/>
    <w:autoRedefine/>
    <w:uiPriority w:val="99"/>
    <w:rsid w:val="00BA1B00"/>
    <w:pPr>
      <w:spacing w:line="360" w:lineRule="auto"/>
      <w:jc w:val="center"/>
    </w:pPr>
    <w:rPr>
      <w:noProof/>
      <w:sz w:val="28"/>
      <w:szCs w:val="28"/>
    </w:rPr>
  </w:style>
  <w:style w:type="paragraph" w:styleId="afe">
    <w:name w:val="Block Text"/>
    <w:basedOn w:val="a2"/>
    <w:uiPriority w:val="99"/>
    <w:rsid w:val="00BA1B00"/>
    <w:pPr>
      <w:widowControl w:val="0"/>
      <w:shd w:val="clear" w:color="auto" w:fill="FFFFFF"/>
      <w:autoSpaceDE w:val="0"/>
      <w:autoSpaceDN w:val="0"/>
      <w:adjustRightInd w:val="0"/>
      <w:spacing w:before="686"/>
      <w:ind w:left="14" w:right="5" w:firstLine="341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837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47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7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7478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7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37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37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47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7477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7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37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37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37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4788">
          <w:marLeft w:val="7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4789">
              <w:marLeft w:val="0"/>
              <w:marRight w:val="0"/>
              <w:marTop w:val="0"/>
              <w:marBottom w:val="0"/>
              <w:divBdr>
                <w:top w:val="single" w:sz="6" w:space="8" w:color="C9C9C9"/>
                <w:left w:val="single" w:sz="6" w:space="8" w:color="C9C9C9"/>
                <w:bottom w:val="single" w:sz="6" w:space="8" w:color="C9C9C9"/>
                <w:right w:val="single" w:sz="6" w:space="8" w:color="C9C9C9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ПОЛИМЕРЫ-САМОУБИЙЦЫ МЕНЯЮТ ОБЛИК МЕДИЦИНЫ</vt:lpstr>
    </vt:vector>
  </TitlesOfParts>
  <Company>Microsoft</Company>
  <LinksUpToDate>false</LinksUpToDate>
  <CharactersWithSpaces>8331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ПОЛИМЕРЫ-САМОУБИЙЦЫ МЕНЯЮТ ОБЛИК МЕДИЦИНЫ</dc:title>
  <dc:subject/>
  <dc:creator>Admin</dc:creator>
  <cp:keywords/>
  <dc:description/>
  <cp:lastModifiedBy>admin</cp:lastModifiedBy>
  <cp:revision>2</cp:revision>
  <dcterms:created xsi:type="dcterms:W3CDTF">2014-02-25T07:15:00Z</dcterms:created>
  <dcterms:modified xsi:type="dcterms:W3CDTF">2014-02-25T07:15:00Z</dcterms:modified>
</cp:coreProperties>
</file>