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EE" w:rsidRPr="00F84FD6" w:rsidRDefault="008D06EE" w:rsidP="008D06EE">
      <w:pPr>
        <w:spacing w:before="120"/>
        <w:jc w:val="center"/>
        <w:rPr>
          <w:b/>
          <w:bCs/>
          <w:sz w:val="32"/>
          <w:szCs w:val="32"/>
        </w:rPr>
      </w:pPr>
      <w:r w:rsidRPr="00F84FD6">
        <w:rPr>
          <w:b/>
          <w:bCs/>
          <w:sz w:val="32"/>
          <w:szCs w:val="32"/>
        </w:rPr>
        <w:t>Предпосылки развития в России страхования объектов интеллектуальной собственности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В настоящее время сложились предпосылки к развитию страхования объектов интеллектуальной собственности. Действительно, ряд косвенных признаков свидетельствует о росте интереса к таким видам страхования как со стороны потенциальных страхователей, так и со стороны страховщиков. При этом в настоящее время на страховом рынке сложились условия, побуждающие российских страховщиков искать новые приложения своим возможностям. В первую очередь это постепенный отказ большинства из них по различным причинам от практики использования налогосберегающих технологий и тревожные ожидания, вызванные неизбежной либерализацией допуска иностранных страховщиков на российский страховой рынок.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В то же время существуют потребности в страховании со стороны не охваченных на сегодняшний момент слоев потенциальных страхователей, представленных, в том числе, и инновационными предприятиями. В большинстве случаев, конечно, речь идет не о спросе на традиционные страховые услуги, а о разработке новых для России видов страхования, не так давно начавших внедряться в зарубежной практике. О спросе на подобные страховые услуги говорит наличие в нескольких законопроектах, направленных на развитие инновационной деятельности в нашей стране, положений о страховании. Среди них стоит упомянуть следующие законопроекты, находящиеся в разной степени разработанности: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Проект федерального закона «О венчурной деятельности»;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Проект федерального закона «О патентных поверенных»;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Проект федерального закона «Об инновационной деятельности и о государственной инновационной политике»;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На основании этих проектов уже можно сделать вывод и об определенном уровне социального заказа на подобные страховые услуги вполне можно говорить, равно как на основании формулировок о страховании в них - и об отсутствующем на момент разработки данных проектов интересе со стороны страховщиков. Тем не менее, вполне уместно говорить о наличии неудовлетворенного спроса на страховые услуги со стороны представителей инновационных компаний.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Данные обстоятельства как внешнего, так и внутреннего свойства, потребуют дополнительных усилий от страховых компаний, желающих остаться конкурентоспособными после широкомасштабного вхождения на российский рынок иностранных страховых компаний, в принципе обладающих технологиями, позволяющими заключать договора страхования рисков, связанных с инновационным процессом и интеллектуальной собственностью.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Из теоретических разработок, а также мировой и начинающейся складываться российской практики страхования, связанного с защитой от рисков, присущих объектам интеллектуальной собственности (ОИС), известны следующие виды страхования: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· страхование риска утраты прав на ОИС;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· имущественное страхование, включающее в себя страхование документов (патентов, свидетельств и т.п.);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· страхование профессиональной ответственности патентных поверенных;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· страхование ответственности за случайное и непреднамеренное использование чужих ОИС;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· страхование финансовых рисков;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· страхование рисков, возникающих при проведении процедуры патентования;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· страхование рисков, связанных с финансовыми потерями в случае отказа в выдаче патента или свидетельства;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· страхование рисков, связанных с разглашением конфиденциальных сведений;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· страхование судебных расходов (издержек);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· страхование от непредвиденных расходов или потери дохода в случае установления контрафактного использования ОИС и в связи с появлением на рынке товаров-аналогов, производство которых основано на иных ОИС.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В принципе большинство из данных видов страхования применимы как к авторским правам, так и к объектам промышленной собственности.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Как легко заметить, практически все перечисленные виды страхования являются новыми для России. В настоящее время существует лишь несколько страховых компаний, в том числе СК «Держава», являющаяся учредителем Парламентского Центра, которые внедряют в свою практику страхование объектов интеллектуальной собственности.</w:t>
      </w:r>
    </w:p>
    <w:p w:rsidR="008D06EE" w:rsidRPr="00C87463" w:rsidRDefault="008D06EE" w:rsidP="008D06EE">
      <w:pPr>
        <w:spacing w:before="120"/>
        <w:ind w:firstLine="567"/>
        <w:jc w:val="both"/>
      </w:pPr>
      <w:r w:rsidRPr="00C87463">
        <w:t>Существует комплекс проблем, общий для всех организаций, участвующих в создании и использовании объектов интеллектуальной собственности в России. Это как недостатки в законодательстве, регулирующем патентно-лицензионные отношения, так и общие настроения в российским обществе, позволяющем себе пренебрежительно относиться к авторским и патентным правам.</w:t>
      </w:r>
    </w:p>
    <w:p w:rsidR="008D06EE" w:rsidRDefault="008D06EE" w:rsidP="008D06EE">
      <w:pPr>
        <w:spacing w:before="120"/>
        <w:ind w:firstLine="567"/>
        <w:jc w:val="both"/>
      </w:pPr>
      <w:r w:rsidRPr="00C87463">
        <w:t>Тем не менее, как показывает опыт зарубежного страхования, многие из этих проблем эти вполне могут быть разрешены. В российских условиях страховые компании могут опираться на поддержку профессионалов патентного дела - патентных поверенных, многие из которых вполне в состоянии справиться с оценкой стоимости ОИС и оказать практическую помощь в оценке риска.</w:t>
      </w:r>
    </w:p>
    <w:p w:rsidR="008D06EE" w:rsidRDefault="008D06EE" w:rsidP="008D06EE">
      <w:pPr>
        <w:spacing w:before="120"/>
        <w:ind w:firstLine="567"/>
        <w:jc w:val="both"/>
      </w:pPr>
      <w:r w:rsidRPr="00C87463">
        <w:t>А.А. Цыганов,</w:t>
      </w:r>
      <w:r>
        <w:t xml:space="preserve"> </w:t>
      </w:r>
      <w:r w:rsidRPr="00C87463">
        <w:t xml:space="preserve">к.э.н., зам. зав. кафедрой </w:t>
      </w:r>
      <w:r>
        <w:t xml:space="preserve"> </w:t>
      </w:r>
      <w:r w:rsidRPr="00C87463">
        <w:t>равления страховым делом и социальным страхованием ГУУ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6EE"/>
    <w:rsid w:val="00541F3B"/>
    <w:rsid w:val="00616072"/>
    <w:rsid w:val="008B35EE"/>
    <w:rsid w:val="008D06EE"/>
    <w:rsid w:val="00B42C45"/>
    <w:rsid w:val="00B47B6A"/>
    <w:rsid w:val="00C01AF6"/>
    <w:rsid w:val="00C87463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754C4A-4C27-4D80-A6BF-516AD479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D06EE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4085</Characters>
  <Application>Microsoft Office Word</Application>
  <DocSecurity>0</DocSecurity>
  <Lines>34</Lines>
  <Paragraphs>9</Paragraphs>
  <ScaleCrop>false</ScaleCrop>
  <Company>Home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Предпосылки развития в России страхования объектов интеллектуальной собственности</dc:title>
  <dc:subject/>
  <dc:creator>User</dc:creator>
  <cp:keywords/>
  <dc:description/>
  <cp:lastModifiedBy>admin</cp:lastModifiedBy>
  <cp:revision>2</cp:revision>
  <dcterms:created xsi:type="dcterms:W3CDTF">2014-02-18T04:06:00Z</dcterms:created>
  <dcterms:modified xsi:type="dcterms:W3CDTF">2014-02-18T04:06:00Z</dcterms:modified>
</cp:coreProperties>
</file>