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26C5" w:rsidRDefault="005B26C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Опыт применения гептрала у больных опийной наркоманией с поражениями печени</w:t>
      </w:r>
    </w:p>
    <w:p w:rsidR="005B26C5" w:rsidRDefault="005B26C5">
      <w:pPr>
        <w:pStyle w:val="HTML"/>
      </w:pPr>
    </w:p>
    <w:p w:rsidR="005B26C5" w:rsidRDefault="005B26C5"/>
    <w:p w:rsidR="005B26C5" w:rsidRDefault="005B26C5">
      <w:pPr>
        <w:pStyle w:val="a5"/>
        <w:jc w:val="left"/>
      </w:pPr>
      <w:r>
        <w:t>  Повреждения печени составляют основную часть осложнений опийных наркоманий, что подтверждается экспериментальными и клиническими исследованиями.</w:t>
      </w:r>
      <w:r>
        <w:br/>
        <w:t>   Целью настоящего исследования была оценка эффективности гептрала (S-аденозил-L-метионин) у больных опийной наркоманией.</w:t>
      </w:r>
    </w:p>
    <w:p w:rsidR="005B26C5" w:rsidRDefault="005B26C5">
      <w:pPr>
        <w:pStyle w:val="a5"/>
        <w:jc w:val="left"/>
      </w:pPr>
      <w:r>
        <w:rPr>
          <w:b/>
          <w:bCs/>
        </w:rPr>
        <w:t>Материалы и методы</w:t>
      </w:r>
      <w:r>
        <w:rPr>
          <w:b/>
          <w:bCs/>
        </w:rPr>
        <w:br/>
        <w:t>   </w:t>
      </w:r>
      <w:r>
        <w:t>Клиническое испытание проводили у 20 больных опийной наркоманией в возрасте от 17 до 38 лет (23,65 ± 1,28). Контрольная группа состояла из 15 пациентов в возрасте от 21 до 38 лет (28,27 ± 1,17). У всех обследованных (лица мужского пола) психиатром-наркологом установлен диагноз опийной наркомании II стадии, абстинентный синдром. Длительность заболевания в основной группе составила от 1 до 22 лет (4,05 ± 1,16), в контрольной – от 2 до 12 лет (3,87 ± 0,67). Для достижения наркотического опьянения использовали химически обработанный раствор маковой соломки в суточной дозе от 5 до 25 мл (13,4 ± 4,3) в основной группе и от 10 до 80 мл (20,0 ± 4,5) в контрольной. Течение опийной наркомании было усугублено у 11 больных основной и у 10 пациентов контрольной групп димедроловой токсикоманией (применение 1–2 таблеток димедрола на каждое внутривенное введение наркотического средства). Для каждого больного была разработана карта обследования, включающая следующие пункты: тщательный расспрос и осмотр; клинический анализ крови и мочи; определение (иммуноферментным методом) вирусных маркеров (HBsAg, anti-HBe, anti-HCV); исследование функционального состояния печени по показателям биохимических проб; определение сывороточных иммуноглобулинов: IgM, IgG, IgA; оценка процессов перекисного окисления липидов по содержанию малонового диальдегида (МДА) и антипириновый тест. Схема введения препарата включала две фазы. Для оценки эффективности различных доз гептрала основная группа была разделена на две подгруппы по 10 больных в каждой (из них 4 и 7 пациентов соответственно сочетали прием наркотических веществ с димедролом). Фаза А – больные 1-й подгруппы получали внутривенное капельное введение раствора гептрала в дозе 800 мг в сутки, а 2-й – двукратно в той же дозе (всего 1600 мг). Фаза Б – последующий прием таблетированной формы гептрала в суточной дозе 1600 мг. Продолжительность каждой фазы 14 дней. По назначению психиатра-нарколога все больные основной и контрольной групп в течение 10–14-го курса терапии абстинентного синдрома получали в различных сочетаниях следующие препараты: клофелин, аминазин, тизерцин, галоперидол, сонапакс, хлорпротиксен, амитриптилин, рогипнол, трамал, пенталгин, финлепсин, циклодол и др. До начала и по окончании каждой фазы лечения оценивали эффективность терапии по критериям, разработанным в карте обследования.</w:t>
      </w:r>
    </w:p>
    <w:p w:rsidR="005B26C5" w:rsidRDefault="005B26C5">
      <w:pPr>
        <w:pStyle w:val="a5"/>
        <w:jc w:val="left"/>
        <w:rPr>
          <w:b/>
          <w:bCs/>
        </w:rPr>
      </w:pPr>
      <w:r>
        <w:rPr>
          <w:b/>
          <w:bCs/>
        </w:rPr>
        <w:t>Оценка эффективности терапии гептралом с помощью антипиринового теста</w:t>
      </w:r>
    </w:p>
    <w:tbl>
      <w:tblPr>
        <w:tblW w:w="8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5B26C5" w:rsidRPr="005B26C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6C5" w:rsidRPr="005B26C5" w:rsidRDefault="005B26C5">
            <w:pPr>
              <w:pStyle w:val="a5"/>
              <w:jc w:val="left"/>
            </w:pPr>
            <w:r w:rsidRPr="005B26C5">
              <w:rPr>
                <w:b/>
                <w:bCs/>
              </w:rPr>
              <w:t>Фаза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6C5" w:rsidRPr="005B26C5" w:rsidRDefault="005B26C5">
            <w:pPr>
              <w:pStyle w:val="a5"/>
              <w:jc w:val="left"/>
            </w:pPr>
            <w:r w:rsidRPr="005B26C5">
              <w:rPr>
                <w:b/>
                <w:bCs/>
              </w:rPr>
              <w:t>Доза (мг)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6C5" w:rsidRPr="005B26C5" w:rsidRDefault="005B26C5">
            <w:pPr>
              <w:pStyle w:val="a5"/>
              <w:jc w:val="left"/>
            </w:pPr>
            <w:r w:rsidRPr="005B26C5">
              <w:rPr>
                <w:b/>
                <w:bCs/>
              </w:rPr>
              <w:t>Дельта % C 1-AP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26C5" w:rsidRPr="005B26C5" w:rsidRDefault="005B26C5">
            <w:pPr>
              <w:pStyle w:val="a5"/>
              <w:jc w:val="left"/>
            </w:pPr>
            <w:r w:rsidRPr="005B26C5">
              <w:rPr>
                <w:b/>
                <w:bCs/>
              </w:rPr>
              <w:t>Дельта % Т 1/2 АР</w:t>
            </w:r>
          </w:p>
        </w:tc>
      </w:tr>
      <w:tr w:rsidR="005B26C5" w:rsidRPr="005B26C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6C5" w:rsidRPr="005B26C5" w:rsidRDefault="005B26C5">
            <w:pPr>
              <w:pStyle w:val="a5"/>
              <w:jc w:val="left"/>
            </w:pPr>
            <w:r w:rsidRPr="005B26C5">
              <w:t>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6C5" w:rsidRPr="005B26C5" w:rsidRDefault="005B26C5">
            <w:pPr>
              <w:pStyle w:val="a5"/>
              <w:jc w:val="left"/>
            </w:pPr>
            <w:r w:rsidRPr="005B26C5">
              <w:t>800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6C5" w:rsidRPr="005B26C5" w:rsidRDefault="005B26C5">
            <w:pPr>
              <w:pStyle w:val="a5"/>
              <w:jc w:val="left"/>
            </w:pPr>
            <w:r w:rsidRPr="005B26C5">
              <w:t>20,05 ± 3,56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26C5" w:rsidRPr="005B26C5" w:rsidRDefault="005B26C5">
            <w:pPr>
              <w:pStyle w:val="a5"/>
              <w:jc w:val="left"/>
            </w:pPr>
            <w:r w:rsidRPr="005B26C5">
              <w:t>28,55 ± 6,35*</w:t>
            </w:r>
          </w:p>
        </w:tc>
      </w:tr>
      <w:tr w:rsidR="005B26C5" w:rsidRPr="005B26C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6C5" w:rsidRPr="005B26C5" w:rsidRDefault="005B26C5">
            <w:pPr>
              <w:pStyle w:val="a5"/>
              <w:jc w:val="left"/>
            </w:pPr>
            <w:r w:rsidRPr="005B26C5">
              <w:t>Б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6C5" w:rsidRPr="005B26C5" w:rsidRDefault="005B26C5">
            <w:pPr>
              <w:pStyle w:val="a5"/>
              <w:jc w:val="left"/>
            </w:pPr>
            <w:r w:rsidRPr="005B26C5">
              <w:t>1600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6C5" w:rsidRPr="005B26C5" w:rsidRDefault="005B26C5">
            <w:pPr>
              <w:pStyle w:val="a5"/>
              <w:jc w:val="left"/>
            </w:pPr>
            <w:r w:rsidRPr="005B26C5">
              <w:t>2,25 ± 0,75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26C5" w:rsidRPr="005B26C5" w:rsidRDefault="005B26C5">
            <w:pPr>
              <w:pStyle w:val="a5"/>
              <w:jc w:val="left"/>
            </w:pPr>
            <w:r w:rsidRPr="005B26C5">
              <w:t>4,47 ± 2,09</w:t>
            </w:r>
          </w:p>
        </w:tc>
      </w:tr>
      <w:tr w:rsidR="005B26C5" w:rsidRPr="005B26C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6C5" w:rsidRPr="005B26C5" w:rsidRDefault="005B26C5">
            <w:pPr>
              <w:pStyle w:val="a5"/>
              <w:jc w:val="left"/>
            </w:pPr>
            <w:r w:rsidRPr="005B26C5">
              <w:t>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6C5" w:rsidRPr="005B26C5" w:rsidRDefault="005B26C5">
            <w:pPr>
              <w:pStyle w:val="a5"/>
              <w:jc w:val="left"/>
            </w:pPr>
            <w:r w:rsidRPr="005B26C5">
              <w:t>1600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6C5" w:rsidRPr="005B26C5" w:rsidRDefault="005B26C5">
            <w:pPr>
              <w:pStyle w:val="a5"/>
              <w:jc w:val="left"/>
            </w:pPr>
            <w:r w:rsidRPr="005B26C5">
              <w:t>20,17 ± 2,88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26C5" w:rsidRPr="005B26C5" w:rsidRDefault="005B26C5">
            <w:pPr>
              <w:pStyle w:val="a5"/>
              <w:jc w:val="left"/>
            </w:pPr>
            <w:r w:rsidRPr="005B26C5">
              <w:t>26,49 ± 5,65*</w:t>
            </w:r>
          </w:p>
        </w:tc>
      </w:tr>
      <w:tr w:rsidR="005B26C5" w:rsidRPr="005B26C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6C5" w:rsidRPr="005B26C5" w:rsidRDefault="005B26C5">
            <w:pPr>
              <w:pStyle w:val="a5"/>
              <w:jc w:val="left"/>
            </w:pPr>
            <w:r w:rsidRPr="005B26C5">
              <w:t>Б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6C5" w:rsidRPr="005B26C5" w:rsidRDefault="005B26C5">
            <w:pPr>
              <w:pStyle w:val="a5"/>
              <w:jc w:val="left"/>
            </w:pPr>
            <w:r w:rsidRPr="005B26C5">
              <w:t>1600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6C5" w:rsidRPr="005B26C5" w:rsidRDefault="005B26C5">
            <w:pPr>
              <w:pStyle w:val="a5"/>
              <w:jc w:val="left"/>
            </w:pPr>
            <w:r w:rsidRPr="005B26C5">
              <w:t>2,53 ± 0,72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26C5" w:rsidRPr="005B26C5" w:rsidRDefault="005B26C5">
            <w:pPr>
              <w:pStyle w:val="a5"/>
              <w:jc w:val="left"/>
            </w:pPr>
            <w:r w:rsidRPr="005B26C5">
              <w:t>4,69 ± 1,24</w:t>
            </w:r>
          </w:p>
        </w:tc>
      </w:tr>
      <w:tr w:rsidR="005B26C5" w:rsidRPr="005B26C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5B26C5" w:rsidRPr="005B26C5" w:rsidRDefault="005B26C5">
            <w:pPr>
              <w:pStyle w:val="a5"/>
              <w:jc w:val="left"/>
            </w:pPr>
            <w:r w:rsidRPr="005B26C5">
              <w:t>Примечание. Дельта % C 1-AP и Т 1/2 АР фазы А (p &lt; 0,01) относительно фазы Б; * - уменьшение показателя.</w:t>
            </w:r>
          </w:p>
        </w:tc>
      </w:tr>
    </w:tbl>
    <w:p w:rsidR="005B26C5" w:rsidRDefault="005B26C5">
      <w:pPr>
        <w:pStyle w:val="a5"/>
        <w:jc w:val="left"/>
        <w:rPr>
          <w:b/>
          <w:bCs/>
        </w:rPr>
      </w:pPr>
      <w:r>
        <w:rPr>
          <w:b/>
          <w:bCs/>
        </w:rPr>
        <w:t>Динамика изменений биохимических показателей под влиянием гептрала</w:t>
      </w:r>
    </w:p>
    <w:p w:rsidR="005B26C5" w:rsidRDefault="005B26C5">
      <w:pPr>
        <w:pStyle w:val="a5"/>
        <w:jc w:val="left"/>
        <w:rPr>
          <w:b/>
          <w:bCs/>
        </w:rPr>
      </w:pPr>
      <w:r>
        <w:rPr>
          <w:b/>
          <w:bCs/>
        </w:rPr>
        <w:t> </w:t>
      </w:r>
      <w:r w:rsidR="005A0F2C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471.75pt">
            <v:imagedata r:id="rId4" o:title="103"/>
          </v:shape>
        </w:pict>
      </w:r>
    </w:p>
    <w:p w:rsidR="005B26C5" w:rsidRDefault="005B26C5">
      <w:pPr>
        <w:pStyle w:val="a5"/>
        <w:jc w:val="left"/>
      </w:pPr>
      <w:r>
        <w:rPr>
          <w:b/>
          <w:bCs/>
        </w:rPr>
        <w:t>Результаты и обсуждение</w:t>
      </w:r>
      <w:r>
        <w:rPr>
          <w:b/>
          <w:bCs/>
        </w:rPr>
        <w:br/>
        <w:t>   </w:t>
      </w:r>
      <w:r>
        <w:t>У всех больных в период обследования имел место абстинентный синдром, степень выраженности которого определялась фазой абстиненции, а также временным интервалом от последнего приема наркотического вещества до момента госпитализации. У больных основной и контрольной групп он составил от 4 до 48 ч (p &lt; 0,05).</w:t>
      </w:r>
      <w:r>
        <w:br/>
        <w:t>   Клиническая симптоматика абстинентного синдрома имела многообразные проявления, наиболее частыми из них были: слезотечение, насморк, чиханье, ознобы, мышечные боли, слабость, боли в суставах и позвоночнике, снижение или отсутствие аппетита, боли в животе, поносы, снижение настроения, тревога, двигательное возбуждение, расстройства сна. Частота встречаемости отмеченных симптомов была одинаковой у обследованных обеих групп (p &lt; 0,05). У некоторых больных опийной наркоманией, осложненной применением димедрола, преобладали явления дисфории, эмоциональной напряженности, беспокойства. Для больных основной и контрольной групп было характерным выраженное влечение к наркотикам, снижение или отсутствие критического отношения к болезни и разная степень настроенности на лечение (p &lt; 0,05).</w:t>
      </w:r>
      <w:r>
        <w:br/>
        <w:t>   Названные основные проявления абстинентного синдрома обусловлены употреблением ацетилированного морфина в результате использования токсичного уксусного ангидрида при кустарном приготовлении или сочетанием последнего с димедролом при внутривенном введении его таблетированной формы.</w:t>
      </w:r>
      <w:r>
        <w:br/>
        <w:t>   При осмотре не выявили каких-либо специфических признаков поражения печени. Данные физикального обследования, свидетельствующие о поражении печени, были малоинформативными. Отсутствие "малых" печеночных знаков, а также увеличение селезенки затрудняло диагностику заболевания печени.</w:t>
      </w:r>
      <w:r>
        <w:br/>
        <w:t>   У 8 больных основной и у 10 пациентов контрольной групп тщательный расспрос позволил установить наличие в анамнезе острого вирусного гепатита, перенесенного на фоне ранее сформировавшейся наркомании.</w:t>
      </w:r>
      <w:r>
        <w:br/>
        <w:t>   Таким образом, достоверно показано, что токсическое воздействие опиатов и инфицирование вирусами гепатита В и С вызывают поражения печени, сопровождающиеся цитолитическим и иммуновоспалительным синдромами. Изучение иммунного статуса обследованных больных выявило количественные и качественные изменения всех классов иммуноглобулинов в сыворотке крови. Повышение уровня сывороточных иммуноглобулинов у больных опийной наркоманией развивается, вероятно, в результате хронической антигенной стимуляции. Морфологические изменения ткани печени соответствовали хроническому гепатиту с умеренной активностью, что подтверждается работами других авторов.</w:t>
      </w:r>
      <w:r>
        <w:br/>
        <w:t>   В результате проведенного лечения у всех больных опийной наркоманией (n = 35) отметили обратное развитие клинических пpoявлeний абстинентного синдрома. У больных основной группы (n = 20), комплексная терапия которых включала гептрал, начиная с 3–4-го дня лечения, отметили ослабление степени интенсивности симптомов абстиненции по сравнению с проявлениями последней у пациентов контрольной группы, не принимавших гептрал.</w:t>
      </w:r>
      <w:r>
        <w:br/>
        <w:t>   К концу 1-й недели лечения у больных на фоне приема гептрала отметили уменьшение чувства тревоги, ослабление эмоционального напряжения и неудовлетворенности, а также повышение настроения. Пациенты этой группы охотно продолжали лечение в специализированном наркологическом отделении, проявляя при этом в определенной степени критическое отношение к своему заболеванию. У 4 больных терапия гептралом в первой фазе была продолжена амбулаторно. Отметили постепенное уменьшение интенсивности компульсивного влечения к наркотику, расширение круга интересов.</w:t>
      </w:r>
      <w:r>
        <w:br/>
        <w:t>   Не выявили принципиальных различий в регрессировании клинических проявлений абстинентного синдрома в первую фазу терапии у больных, получавших разные дозы препарата (800 и 1600 мг соответственно). На втором этапе лечения гептрал нередко применяли в качестве средства монотерапии или в комбинации с другими антидепрессивными препаратами для купирования остаточных явлений абстинентного синдрома.</w:t>
      </w:r>
      <w:r>
        <w:br/>
        <w:t>   Антидепрессивный эффект гептрала позволял назначать эти препараты в меньших дозах. Осложнений при применении гептрала не отмечалось. У всех больных выявили тенденцию к снижению показателей (см. рисунок) активности цитолитического синдрома, тимоловой пробы, а также содержания гамма-глобулинов в сыворотке крови (p &lt; 0,05).    </w:t>
      </w:r>
    </w:p>
    <w:p w:rsidR="005B26C5" w:rsidRDefault="005B26C5">
      <w:pPr>
        <w:pStyle w:val="a5"/>
        <w:jc w:val="left"/>
      </w:pPr>
      <w:r>
        <w:rPr>
          <w:b/>
          <w:bCs/>
        </w:rPr>
        <w:t>Выводы</w:t>
      </w:r>
      <w:r>
        <w:rPr>
          <w:b/>
          <w:bCs/>
        </w:rPr>
        <w:br/>
        <w:t>   </w:t>
      </w:r>
      <w:r>
        <w:t>Опыт применения гептрала у больных опийной наркоманией с поражениями печени свидетельствует об его эффективности, проявляющейся в улучшении функционального состояния печени и стимуляции процессов микросомального окисления. С учетом его антидепрессивного действия гептрал может быть рекомендован в комплексной терапии абстинентного синдрома. Анализ результатов антипиринового теста позволяет предложить проведение более продолжительного курса терапии гептралом, особенно его первой фазы, а также увеличение суточной дозы таблетированной формы препарата во второй фазе лечения. Полученные новые научные данные могут служить основанием для дальнейшего изучения действия различных токсических веществ на печень, а также быть использованы в разработке программ лечения больных наркоманией.   </w:t>
      </w:r>
    </w:p>
    <w:p w:rsidR="005B26C5" w:rsidRDefault="005B26C5">
      <w:pPr>
        <w:pStyle w:val="a5"/>
        <w:jc w:val="left"/>
      </w:pPr>
    </w:p>
    <w:p w:rsidR="005B26C5" w:rsidRDefault="005B26C5">
      <w:pPr>
        <w:pStyle w:val="a5"/>
        <w:jc w:val="left"/>
        <w:rPr>
          <w:b/>
          <w:bCs/>
        </w:rPr>
      </w:pPr>
      <w:r>
        <w:rPr>
          <w:b/>
          <w:bCs/>
        </w:rPr>
        <w:t>Статья А.С.Логинова, Л.Ю.Ильченкова, Т.И.Серова, А.В.Петракова, .Ю.Сильвестровой, И.Н.Черных</w:t>
      </w:r>
      <w:r>
        <w:rPr>
          <w:b/>
          <w:bCs/>
        </w:rPr>
        <w:br/>
      </w:r>
      <w:bookmarkStart w:id="0" w:name="_GoBack"/>
      <w:bookmarkEnd w:id="0"/>
    </w:p>
    <w:sectPr w:rsidR="005B26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D08"/>
    <w:rsid w:val="005A0F2C"/>
    <w:rsid w:val="005B26C5"/>
    <w:rsid w:val="00A37010"/>
    <w:rsid w:val="00C4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031770F-9416-4064-8417-8F323737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color w:val="333333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33333"/>
      <w:kern w:val="32"/>
      <w:sz w:val="32"/>
      <w:szCs w:val="32"/>
    </w:rPr>
  </w:style>
  <w:style w:type="character" w:styleId="a3">
    <w:name w:val="Hyperlink"/>
    <w:uiPriority w:val="99"/>
    <w:rPr>
      <w:color w:val="auto"/>
      <w:u w:val="single"/>
    </w:rPr>
  </w:style>
  <w:style w:type="character" w:styleId="a4">
    <w:name w:val="FollowedHyperlink"/>
    <w:uiPriority w:val="99"/>
    <w:rPr>
      <w:color w:val="auto"/>
      <w:u w:val="single"/>
    </w:rPr>
  </w:style>
  <w:style w:type="paragraph" w:styleId="a5">
    <w:name w:val="Normal (Web)"/>
    <w:basedOn w:val="a"/>
    <w:uiPriority w:val="99"/>
    <w:pPr>
      <w:ind w:firstLine="240"/>
      <w:jc w:val="both"/>
    </w:pPr>
  </w:style>
  <w:style w:type="paragraph" w:customStyle="1" w:styleId="spec">
    <w:name w:val="spec"/>
    <w:basedOn w:val="a"/>
    <w:uiPriority w:val="99"/>
    <w:pPr>
      <w:jc w:val="both"/>
    </w:pPr>
  </w:style>
  <w:style w:type="paragraph" w:customStyle="1" w:styleId="thead">
    <w:name w:val="thead"/>
    <w:basedOn w:val="a"/>
    <w:uiPriority w:val="99"/>
    <w:pPr>
      <w:spacing w:before="240" w:after="240"/>
      <w:jc w:val="center"/>
    </w:pPr>
    <w:rPr>
      <w:b/>
      <w:bCs/>
      <w:i/>
      <w:iCs/>
    </w:rPr>
  </w:style>
  <w:style w:type="paragraph" w:customStyle="1" w:styleId="tab">
    <w:name w:val="tab"/>
    <w:basedOn w:val="a"/>
    <w:uiPriority w:val="99"/>
    <w:pPr>
      <w:spacing w:before="240" w:after="240"/>
      <w:jc w:val="center"/>
    </w:pPr>
  </w:style>
  <w:style w:type="paragraph" w:customStyle="1" w:styleId="ris">
    <w:name w:val="ris"/>
    <w:basedOn w:val="a"/>
    <w:uiPriority w:val="99"/>
    <w:pPr>
      <w:pBdr>
        <w:bottom w:val="single" w:sz="6" w:space="0" w:color="000000"/>
      </w:pBdr>
      <w:spacing w:after="240"/>
      <w:jc w:val="center"/>
    </w:pPr>
    <w:rPr>
      <w:i/>
      <w:iCs/>
    </w:rPr>
  </w:style>
  <w:style w:type="paragraph" w:customStyle="1" w:styleId="hissue">
    <w:name w:val="hissue"/>
    <w:basedOn w:val="a"/>
    <w:uiPriority w:val="99"/>
    <w:pPr>
      <w:ind w:firstLine="240"/>
      <w:jc w:val="both"/>
    </w:pPr>
    <w:rPr>
      <w:b/>
      <w:bCs/>
      <w:color w:val="auto"/>
      <w:sz w:val="16"/>
      <w:szCs w:val="16"/>
    </w:rPr>
  </w:style>
  <w:style w:type="paragraph" w:customStyle="1" w:styleId="htopic">
    <w:name w:val="htopic"/>
    <w:basedOn w:val="a"/>
    <w:uiPriority w:val="99"/>
    <w:pPr>
      <w:ind w:firstLine="240"/>
      <w:jc w:val="both"/>
    </w:pPr>
    <w:rPr>
      <w:color w:val="auto"/>
      <w:sz w:val="16"/>
      <w:szCs w:val="16"/>
    </w:rPr>
  </w:style>
  <w:style w:type="paragraph" w:customStyle="1" w:styleId="topbot">
    <w:name w:val="topbot"/>
    <w:basedOn w:val="a"/>
    <w:uiPriority w:val="99"/>
    <w:pPr>
      <w:ind w:firstLine="240"/>
      <w:jc w:val="both"/>
    </w:pPr>
    <w:rPr>
      <w:rFonts w:ascii="Tahoma" w:hAnsi="Tahoma" w:cs="Tahoma"/>
      <w:color w:val="auto"/>
      <w:sz w:val="17"/>
      <w:szCs w:val="17"/>
    </w:rPr>
  </w:style>
  <w:style w:type="character" w:customStyle="1" w:styleId="hissue1">
    <w:name w:val="hissue1"/>
    <w:uiPriority w:val="99"/>
    <w:rPr>
      <w:b/>
      <w:bCs/>
      <w:color w:val="auto"/>
      <w:sz w:val="16"/>
      <w:szCs w:val="16"/>
    </w:rPr>
  </w:style>
  <w:style w:type="character" w:customStyle="1" w:styleId="htopic1">
    <w:name w:val="htopic1"/>
    <w:uiPriority w:val="99"/>
    <w:rPr>
      <w:color w:val="auto"/>
      <w:sz w:val="16"/>
      <w:szCs w:val="16"/>
    </w:rPr>
  </w:style>
  <w:style w:type="paragraph" w:styleId="HTML">
    <w:name w:val="HTML Address"/>
    <w:basedOn w:val="a"/>
    <w:link w:val="HTML0"/>
    <w:uiPriority w:val="99"/>
    <w:rPr>
      <w:i/>
      <w:iCs/>
    </w:rPr>
  </w:style>
  <w:style w:type="character" w:customStyle="1" w:styleId="HTML0">
    <w:name w:val="Адрес HTML Знак"/>
    <w:link w:val="HTML"/>
    <w:uiPriority w:val="99"/>
    <w:semiHidden/>
    <w:rPr>
      <w:rFonts w:ascii="Times New Roman" w:hAnsi="Times New Roman" w:cs="Times New Roman"/>
      <w:i/>
      <w:iCs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5292</Words>
  <Characters>3017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ПСИХИАТРИЯ И ПСИХОФАРМАКОТЕРАПИЯ :: Том 3/N 3/2001</vt:lpstr>
    </vt:vector>
  </TitlesOfParts>
  <Company>KM</Company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ПСИХИАТРИЯ И ПСИХОФАРМАКОТЕРАПИЯ :: Том 3/N 3/2001</dc:title>
  <dc:subject/>
  <dc:creator>N/A</dc:creator>
  <cp:keywords/>
  <dc:description/>
  <cp:lastModifiedBy>admin</cp:lastModifiedBy>
  <cp:revision>2</cp:revision>
  <dcterms:created xsi:type="dcterms:W3CDTF">2014-01-27T15:51:00Z</dcterms:created>
  <dcterms:modified xsi:type="dcterms:W3CDTF">2014-01-27T15:51:00Z</dcterms:modified>
</cp:coreProperties>
</file>