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84" w:rsidRPr="000128D7" w:rsidRDefault="00212CC6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Название предприятия</w:t>
      </w:r>
      <w:r w:rsidR="009A3C84" w:rsidRPr="000128D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Громовское месторождение</w:t>
      </w:r>
      <w:r w:rsidR="009A3C84" w:rsidRPr="000128D7">
        <w:rPr>
          <w:rFonts w:ascii="Times New Roman" w:hAnsi="Times New Roman"/>
          <w:color w:val="000000"/>
          <w:sz w:val="28"/>
          <w:szCs w:val="28"/>
        </w:rPr>
        <w:t>.</w:t>
      </w:r>
    </w:p>
    <w:p w:rsidR="009A3C84" w:rsidRPr="000128D7" w:rsidRDefault="009A3C84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3C84" w:rsidRPr="000128D7" w:rsidRDefault="009A3C84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Адрес предприятия: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находится на территории Приаргунского района Забайкальского края</w:t>
      </w:r>
      <w:r w:rsidR="001234D7" w:rsidRPr="000128D7">
        <w:rPr>
          <w:rFonts w:ascii="Times New Roman" w:hAnsi="Times New Roman"/>
          <w:color w:val="000000"/>
          <w:sz w:val="28"/>
          <w:szCs w:val="28"/>
        </w:rPr>
        <w:t>.</w:t>
      </w:r>
    </w:p>
    <w:p w:rsidR="009A3C84" w:rsidRPr="000128D7" w:rsidRDefault="009A3C84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CC6" w:rsidRPr="000128D7" w:rsidRDefault="00212CC6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Автор</w:t>
      </w:r>
      <w:r w:rsidR="009A3C84" w:rsidRPr="000128D7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0128D7">
        <w:rPr>
          <w:rFonts w:ascii="Times New Roman" w:hAnsi="Times New Roman"/>
          <w:b/>
          <w:color w:val="000000"/>
          <w:sz w:val="28"/>
          <w:szCs w:val="28"/>
        </w:rPr>
        <w:t xml:space="preserve"> проекта: </w:t>
      </w:r>
      <w:r w:rsidR="009A3C84" w:rsidRPr="000128D7">
        <w:rPr>
          <w:rFonts w:ascii="Times New Roman" w:hAnsi="Times New Roman"/>
          <w:bCs/>
          <w:color w:val="000000"/>
          <w:sz w:val="28"/>
          <w:szCs w:val="28"/>
        </w:rPr>
        <w:t xml:space="preserve">Студент группы </w:t>
      </w:r>
      <w:r w:rsidR="009A3C84" w:rsidRPr="000128D7">
        <w:rPr>
          <w:rFonts w:ascii="Times New Roman" w:hAnsi="Times New Roman"/>
          <w:color w:val="000000"/>
          <w:sz w:val="28"/>
          <w:szCs w:val="28"/>
          <w:u w:val="single"/>
        </w:rPr>
        <w:t>ЭУГСКр-08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D71B0" w:rsidRPr="000128D7">
        <w:rPr>
          <w:rFonts w:ascii="Times New Roman" w:hAnsi="Times New Roman"/>
          <w:color w:val="000000"/>
          <w:sz w:val="28"/>
          <w:szCs w:val="28"/>
        </w:rPr>
        <w:t>Лупандин С Ю</w:t>
      </w:r>
    </w:p>
    <w:p w:rsidR="009A3C84" w:rsidRPr="000128D7" w:rsidRDefault="009A3C84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CC6" w:rsidRPr="000128D7" w:rsidRDefault="00212CC6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Суть проекта: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разработка бизнес – плана на</w:t>
      </w:r>
      <w:r w:rsidR="00812ED2" w:rsidRPr="000128D7">
        <w:rPr>
          <w:rFonts w:ascii="Times New Roman" w:hAnsi="Times New Roman"/>
          <w:color w:val="000000"/>
          <w:sz w:val="28"/>
          <w:szCs w:val="28"/>
        </w:rPr>
        <w:t xml:space="preserve"> получение кредита в ком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мерческом </w:t>
      </w:r>
      <w:r w:rsidR="00812ED2" w:rsidRPr="000128D7">
        <w:rPr>
          <w:rFonts w:ascii="Times New Roman" w:hAnsi="Times New Roman"/>
          <w:color w:val="000000"/>
          <w:sz w:val="28"/>
          <w:szCs w:val="28"/>
        </w:rPr>
        <w:t xml:space="preserve">банке для освоения </w:t>
      </w:r>
      <w:r w:rsidRPr="000128D7">
        <w:rPr>
          <w:rFonts w:ascii="Times New Roman" w:hAnsi="Times New Roman"/>
          <w:color w:val="000000"/>
          <w:sz w:val="28"/>
          <w:szCs w:val="28"/>
        </w:rPr>
        <w:t>Громовского месторождения марганца.</w:t>
      </w:r>
    </w:p>
    <w:p w:rsidR="009A3C84" w:rsidRPr="000128D7" w:rsidRDefault="009A3C84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2CC6" w:rsidRPr="000128D7" w:rsidRDefault="00212CC6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Совокупность стоимости проекта</w:t>
      </w:r>
      <w:r w:rsidR="007A5B19" w:rsidRPr="000128D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70 миллионов рублей.</w:t>
      </w:r>
    </w:p>
    <w:p w:rsidR="006F39E4" w:rsidRPr="000128D7" w:rsidRDefault="006F39E4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39E4" w:rsidRPr="000128D7" w:rsidRDefault="006F39E4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Срок окупаемости: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C05285" w:rsidRPr="000128D7">
        <w:rPr>
          <w:rFonts w:ascii="Times New Roman" w:hAnsi="Times New Roman"/>
          <w:color w:val="000000"/>
          <w:sz w:val="28"/>
          <w:szCs w:val="28"/>
        </w:rPr>
        <w:t>,5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459" w:rsidRPr="000128D7" w:rsidRDefault="00690459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459" w:rsidRPr="000128D7" w:rsidRDefault="00690459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459" w:rsidRPr="000128D7" w:rsidRDefault="00690459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4727" w:rsidRPr="000128D7" w:rsidRDefault="00CD472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459" w:rsidRPr="000128D7" w:rsidRDefault="00690459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3A60" w:rsidRPr="000128D7" w:rsidRDefault="00AD71B0" w:rsidP="0069045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Чита 2010</w:t>
      </w:r>
    </w:p>
    <w:p w:rsidR="00CD4727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br w:type="page"/>
      </w:r>
      <w:r w:rsidRPr="000128D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 </w:t>
      </w:r>
      <w:r w:rsidR="00CD4727" w:rsidRPr="000128D7">
        <w:rPr>
          <w:rFonts w:ascii="Times New Roman" w:hAnsi="Times New Roman"/>
          <w:b/>
          <w:color w:val="000000"/>
          <w:sz w:val="28"/>
          <w:szCs w:val="28"/>
        </w:rPr>
        <w:t>Резюме</w:t>
      </w:r>
    </w:p>
    <w:p w:rsidR="008B4E67" w:rsidRPr="000128D7" w:rsidRDefault="008B4E6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0459" w:rsidRPr="000128D7" w:rsidRDefault="00B76821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Style w:val="FontStyle13"/>
          <w:rFonts w:ascii="Times New Roman" w:hAnsi="Times New Roman" w:cs="Times New Roman"/>
          <w:i w:val="0"/>
          <w:color w:val="000000"/>
          <w:spacing w:val="0"/>
        </w:rPr>
        <w:t>Целью настоящего бизнес-плана является получение банковского кредита для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освоения Гро</w:t>
      </w:r>
      <w:r w:rsidR="00A0521F" w:rsidRPr="000128D7">
        <w:rPr>
          <w:rFonts w:ascii="Times New Roman" w:hAnsi="Times New Roman"/>
          <w:color w:val="000000"/>
          <w:sz w:val="28"/>
          <w:szCs w:val="28"/>
        </w:rPr>
        <w:t>мовского месторождения марганца</w:t>
      </w:r>
      <w:r w:rsidR="008B4E67" w:rsidRPr="000128D7">
        <w:rPr>
          <w:rFonts w:ascii="Times New Roman" w:hAnsi="Times New Roman"/>
          <w:color w:val="000000"/>
          <w:sz w:val="28"/>
          <w:szCs w:val="28"/>
        </w:rPr>
        <w:t>, расположенного в Забайкальском крае</w:t>
      </w:r>
      <w:r w:rsidR="00AA7819" w:rsidRPr="000128D7">
        <w:rPr>
          <w:rFonts w:ascii="Times New Roman" w:hAnsi="Times New Roman"/>
          <w:color w:val="000000"/>
          <w:sz w:val="28"/>
          <w:szCs w:val="28"/>
        </w:rPr>
        <w:t>, а именно, создание производства ферросиликомарганцевой продукции из руд Громовского месторождения.</w:t>
      </w:r>
    </w:p>
    <w:p w:rsidR="008B4E67" w:rsidRPr="000128D7" w:rsidRDefault="008B4E6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Также в проекте представлены: производственный план, план маркетинга, организационный план, возможные риски по проекту, финансовый план.</w:t>
      </w:r>
    </w:p>
    <w:p w:rsidR="008B4E67" w:rsidRPr="000128D7" w:rsidRDefault="008B4E6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Произведен расчет следующих важных показателей и коэффициентов:</w:t>
      </w:r>
    </w:p>
    <w:p w:rsidR="008B4E67" w:rsidRPr="000128D7" w:rsidRDefault="008B4E67" w:rsidP="00690459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порог рентабельности (81 139 тыс. руб.);</w:t>
      </w:r>
    </w:p>
    <w:p w:rsidR="008B4E67" w:rsidRPr="000128D7" w:rsidRDefault="008B4E67" w:rsidP="00690459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пороговое количество товаров (22,5 тыс. т.);</w:t>
      </w:r>
    </w:p>
    <w:p w:rsidR="008B4E67" w:rsidRPr="000128D7" w:rsidRDefault="008B4E67" w:rsidP="00690459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чистый дисконтированный доход (107 904,29 тыс. руб.);</w:t>
      </w:r>
    </w:p>
    <w:p w:rsidR="008B4E67" w:rsidRPr="000128D7" w:rsidRDefault="008B4E67" w:rsidP="00690459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индекс доходности (21,8);</w:t>
      </w:r>
    </w:p>
    <w:p w:rsidR="008B4E67" w:rsidRPr="000128D7" w:rsidRDefault="008B4E67" w:rsidP="00690459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рентабельность инвестиций (5,4);</w:t>
      </w:r>
    </w:p>
    <w:p w:rsidR="008B4E67" w:rsidRPr="000128D7" w:rsidRDefault="008B4E67" w:rsidP="00690459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срок окупаемости (2,5 года);</w:t>
      </w:r>
    </w:p>
    <w:p w:rsidR="008B4E67" w:rsidRPr="000128D7" w:rsidRDefault="008B4E67" w:rsidP="00690459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коэффициенты оборачиваемости;</w:t>
      </w:r>
    </w:p>
    <w:p w:rsidR="008B4E67" w:rsidRPr="000128D7" w:rsidRDefault="008B4E67" w:rsidP="00690459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коэффициенты рентабельности;</w:t>
      </w:r>
    </w:p>
    <w:p w:rsidR="008B4E67" w:rsidRPr="000128D7" w:rsidRDefault="008B4E67" w:rsidP="00690459">
      <w:pPr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коэффициенты финансовой устойчивости.</w:t>
      </w:r>
    </w:p>
    <w:p w:rsidR="008B4E67" w:rsidRPr="000128D7" w:rsidRDefault="008B4E6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Суммарная стоимость проекта составляет 70 млн. руб. из которых 20 млн. руб. – заемные (банковский кредит).</w:t>
      </w:r>
    </w:p>
    <w:p w:rsidR="008B4E67" w:rsidRPr="000128D7" w:rsidRDefault="008B4E6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Проект является успешным для предпринимателей, так как показатели, характеризующие его приемлемость достаточно оптимальны (они приведены выше).</w:t>
      </w:r>
    </w:p>
    <w:p w:rsidR="008B4E67" w:rsidRPr="000128D7" w:rsidRDefault="008B4E6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Суммарные затраты составляют 66 216 тыс. руб., из которых затраты постоянные – 48 142 тыс. руб., а затраты переменные – 18 074 тыс. руб.</w:t>
      </w:r>
    </w:p>
    <w:p w:rsidR="008B4E67" w:rsidRPr="000128D7" w:rsidRDefault="008B4E6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Чистая прибыль по проекту равна 132 161 тыс. руб.</w:t>
      </w:r>
    </w:p>
    <w:p w:rsidR="00830D87" w:rsidRPr="000128D7" w:rsidRDefault="00830D8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D87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br w:type="page"/>
        <w:t xml:space="preserve">2 </w:t>
      </w:r>
      <w:r w:rsidR="00830D87" w:rsidRPr="000128D7">
        <w:rPr>
          <w:rFonts w:ascii="Times New Roman" w:hAnsi="Times New Roman"/>
          <w:b/>
          <w:color w:val="000000"/>
          <w:sz w:val="28"/>
          <w:szCs w:val="28"/>
        </w:rPr>
        <w:t>Анализ положения дел в отрасли</w:t>
      </w:r>
    </w:p>
    <w:p w:rsidR="00830D87" w:rsidRPr="000128D7" w:rsidRDefault="00830D87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0459" w:rsidRPr="000128D7" w:rsidRDefault="00830D8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Марганцевые руды на территории России представлены тремя типами: окисными, карбонатными и окисленными. Преобладает карбонатный тип. Балансовые запасы карбонатных руд составляют 91,4% от общероссийских запасов. Среднее содержание марганца в рудах карбонатного типа изменяется от 18 до 22% , в окисных - от 21 до 27% и в окисленных - 27%.</w:t>
      </w:r>
    </w:p>
    <w:p w:rsidR="00690459" w:rsidRPr="000128D7" w:rsidRDefault="00830D8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Россия практически не имеет в настоящее время запасов высококачественных руд окисного типа, а разработка труднообогатимых карбонатных руд не производится из-за слабой разработанности технологии и низкой рентабельности производства.</w:t>
      </w:r>
    </w:p>
    <w:p w:rsidR="00830D87" w:rsidRPr="000128D7" w:rsidRDefault="00830D8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Марганцевыми считаются руды, содержащие более 35% марганца, марганцевыми железосодержащими - руды, в которых 10-35% марганца, марганецежелезными - руды, содержащие 5-10% марганца, железными - руды, содержащие менее 5 % марганца.</w:t>
      </w:r>
    </w:p>
    <w:p w:rsidR="00830D87" w:rsidRPr="000128D7" w:rsidRDefault="00830D8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Основным потребителе</w:t>
      </w:r>
      <w:r w:rsidRPr="000128D7"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0128D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марганца является металлургическая промышленность. Марганцевые ферросплавы представляют собой в основном </w:t>
      </w:r>
      <w:r w:rsidR="000A15BC" w:rsidRPr="000128D7">
        <w:rPr>
          <w:rFonts w:ascii="Times New Roman" w:hAnsi="Times New Roman"/>
          <w:color w:val="000000"/>
          <w:sz w:val="28"/>
          <w:szCs w:val="28"/>
        </w:rPr>
        <w:t>зеркальный чугун</w:t>
      </w:r>
      <w:r w:rsidRPr="000128D7">
        <w:rPr>
          <w:rFonts w:ascii="Times New Roman" w:hAnsi="Times New Roman"/>
          <w:color w:val="000000"/>
          <w:sz w:val="28"/>
          <w:szCs w:val="28"/>
        </w:rPr>
        <w:t>, силик</w:t>
      </w:r>
      <w:r w:rsidRPr="000128D7">
        <w:rPr>
          <w:rFonts w:ascii="Times New Roman" w:hAnsi="Times New Roman"/>
          <w:color w:val="000000"/>
          <w:sz w:val="28"/>
          <w:szCs w:val="28"/>
          <w:lang w:eastAsia="zh-CN"/>
        </w:rPr>
        <w:t>о</w:t>
      </w:r>
      <w:r w:rsidRPr="000128D7">
        <w:rPr>
          <w:rFonts w:ascii="Times New Roman" w:hAnsi="Times New Roman"/>
          <w:color w:val="000000"/>
          <w:sz w:val="28"/>
          <w:szCs w:val="28"/>
        </w:rPr>
        <w:t>марганец, высоко- и низкоуглеродистые сорта ферромарганца.</w:t>
      </w:r>
      <w:r w:rsidR="000A15BC" w:rsidRPr="000128D7">
        <w:rPr>
          <w:rFonts w:ascii="Times New Roman" w:hAnsi="Times New Roman"/>
          <w:color w:val="000000"/>
          <w:sz w:val="28"/>
          <w:szCs w:val="28"/>
        </w:rPr>
        <w:t xml:space="preserve"> Зеркальный </w:t>
      </w:r>
      <w:r w:rsidRPr="000128D7">
        <w:rPr>
          <w:rFonts w:ascii="Times New Roman" w:hAnsi="Times New Roman"/>
          <w:color w:val="000000"/>
          <w:sz w:val="28"/>
          <w:szCs w:val="28"/>
        </w:rPr>
        <w:t>чугун содержит 15-20% М</w:t>
      </w:r>
      <w:r w:rsidR="00676A60" w:rsidRPr="000128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при содержании 3,5-5,5% С; наиболее часто используется сплав с высоким содержанием марганца. Силикомарганец содержит15-20% М</w:t>
      </w:r>
      <w:r w:rsidR="00676A60" w:rsidRPr="000128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, около 10% </w:t>
      </w:r>
      <w:r w:rsidRPr="000128D7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и меньше 5% С. Высоко-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углеродистый и низкоуглеродистый ферромарганец , используемые в </w:t>
      </w:r>
      <w:r w:rsidR="000A15BC" w:rsidRPr="000128D7">
        <w:rPr>
          <w:rFonts w:ascii="Times New Roman" w:hAnsi="Times New Roman"/>
          <w:color w:val="000000"/>
          <w:sz w:val="28"/>
          <w:szCs w:val="28"/>
        </w:rPr>
        <w:t>настоящее время</w:t>
      </w:r>
      <w:r w:rsidRPr="000128D7">
        <w:rPr>
          <w:rFonts w:ascii="Times New Roman" w:hAnsi="Times New Roman"/>
          <w:color w:val="000000"/>
          <w:sz w:val="28"/>
          <w:szCs w:val="28"/>
        </w:rPr>
        <w:t>, содерж</w:t>
      </w:r>
      <w:r w:rsidR="000A15BC" w:rsidRPr="000128D7">
        <w:rPr>
          <w:rFonts w:ascii="Times New Roman" w:hAnsi="Times New Roman"/>
          <w:color w:val="000000"/>
          <w:sz w:val="28"/>
          <w:szCs w:val="28"/>
        </w:rPr>
        <w:t>а</w:t>
      </w:r>
      <w:r w:rsidRPr="000128D7">
        <w:rPr>
          <w:rFonts w:ascii="Times New Roman" w:hAnsi="Times New Roman"/>
          <w:color w:val="000000"/>
          <w:sz w:val="28"/>
          <w:szCs w:val="28"/>
        </w:rPr>
        <w:t>т около 80% М</w:t>
      </w:r>
      <w:r w:rsidR="00676A60" w:rsidRPr="000128D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и 6-7% С (высокоуглеродистый ферромарганец) и меньше 0,1% С (низкоуглеродистый ферромарганец).</w:t>
      </w:r>
    </w:p>
    <w:p w:rsidR="00E36502" w:rsidRPr="000128D7" w:rsidRDefault="00830D8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Вне металлургической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промышленности наиболее важное применение нашли оксиды марганца при производстве электрических батарей. Соединения марганца используются так </w:t>
      </w:r>
      <w:r w:rsidR="000A15BC" w:rsidRPr="000128D7">
        <w:rPr>
          <w:rFonts w:ascii="Times New Roman" w:hAnsi="Times New Roman"/>
          <w:color w:val="000000"/>
          <w:sz w:val="28"/>
          <w:szCs w:val="28"/>
        </w:rPr>
        <w:t>же при производстве стекла, в керамической промышленности</w:t>
      </w:r>
      <w:r w:rsidRPr="000128D7">
        <w:rPr>
          <w:rFonts w:ascii="Times New Roman" w:hAnsi="Times New Roman"/>
          <w:color w:val="000000"/>
          <w:sz w:val="28"/>
          <w:szCs w:val="28"/>
        </w:rPr>
        <w:t>, в красильной и</w:t>
      </w:r>
      <w:r w:rsidR="000A15BC" w:rsidRPr="000128D7">
        <w:rPr>
          <w:rFonts w:ascii="Times New Roman" w:hAnsi="Times New Roman"/>
          <w:color w:val="000000"/>
          <w:sz w:val="28"/>
          <w:szCs w:val="28"/>
        </w:rPr>
        <w:t xml:space="preserve"> полиграфической промышленности</w:t>
      </w:r>
      <w:r w:rsidRPr="000128D7">
        <w:rPr>
          <w:rFonts w:ascii="Times New Roman" w:hAnsi="Times New Roman"/>
          <w:color w:val="000000"/>
          <w:sz w:val="28"/>
          <w:szCs w:val="28"/>
        </w:rPr>
        <w:t>, в производстве ферритов.</w:t>
      </w:r>
    </w:p>
    <w:p w:rsidR="00830D87" w:rsidRPr="000128D7" w:rsidRDefault="00830D8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iCs/>
          <w:color w:val="000000"/>
          <w:sz w:val="28"/>
          <w:szCs w:val="28"/>
        </w:rPr>
        <w:t xml:space="preserve">В России разработка месторождений марганца по различным причинам не производилась, а обеспечение промышленности металлом осуществлялось за счет поставок марганцевой продукции с Украины, Грузии и Казахстана, где была сформирована крупная сырьевая и производственная база СССР по марганцу. В </w:t>
      </w:r>
      <w:smartTag w:uri="urn:schemas-microsoft-com:office:smarttags" w:element="metricconverter">
        <w:smartTagPr>
          <w:attr w:name="ProductID" w:val="1990 г"/>
        </w:smartTagPr>
        <w:r w:rsidRPr="000128D7">
          <w:rPr>
            <w:rFonts w:ascii="Times New Roman" w:hAnsi="Times New Roman"/>
            <w:iCs/>
            <w:color w:val="000000"/>
            <w:sz w:val="28"/>
            <w:szCs w:val="28"/>
          </w:rPr>
          <w:t>1990 г</w:t>
        </w:r>
      </w:smartTag>
      <w:r w:rsidRPr="000128D7">
        <w:rPr>
          <w:rFonts w:ascii="Times New Roman" w:hAnsi="Times New Roman"/>
          <w:iCs/>
          <w:color w:val="000000"/>
          <w:sz w:val="28"/>
          <w:szCs w:val="28"/>
        </w:rPr>
        <w:t xml:space="preserve">. в России на привозном сырье производился лишь доменный ферромарганец, количество которого составляло примерно четвертую часть необходимого объема марганцевых сплавов. В дальнейшем выплавка ферромарганца постепенно сокращалась и уменьшилась к </w:t>
      </w:r>
      <w:smartTag w:uri="urn:schemas-microsoft-com:office:smarttags" w:element="metricconverter">
        <w:smartTagPr>
          <w:attr w:name="ProductID" w:val="1997 г"/>
        </w:smartTagPr>
        <w:r w:rsidRPr="000128D7">
          <w:rPr>
            <w:rFonts w:ascii="Times New Roman" w:hAnsi="Times New Roman"/>
            <w:iCs/>
            <w:color w:val="000000"/>
            <w:sz w:val="28"/>
            <w:szCs w:val="28"/>
          </w:rPr>
          <w:t>1997 г</w:t>
        </w:r>
      </w:smartTag>
      <w:r w:rsidRPr="000128D7">
        <w:rPr>
          <w:rFonts w:ascii="Times New Roman" w:hAnsi="Times New Roman"/>
          <w:iCs/>
          <w:color w:val="000000"/>
          <w:sz w:val="28"/>
          <w:szCs w:val="28"/>
        </w:rPr>
        <w:t xml:space="preserve"> более чем в 5 раз. Начавшаяся в </w:t>
      </w:r>
      <w:smartTag w:uri="urn:schemas-microsoft-com:office:smarttags" w:element="metricconverter">
        <w:smartTagPr>
          <w:attr w:name="ProductID" w:val="1994 г"/>
        </w:smartTagPr>
        <w:r w:rsidRPr="000128D7">
          <w:rPr>
            <w:rFonts w:ascii="Times New Roman" w:hAnsi="Times New Roman"/>
            <w:iCs/>
            <w:color w:val="000000"/>
            <w:sz w:val="28"/>
            <w:szCs w:val="28"/>
          </w:rPr>
          <w:t>1994 г</w:t>
        </w:r>
      </w:smartTag>
      <w:r w:rsidRPr="000128D7">
        <w:rPr>
          <w:rFonts w:ascii="Times New Roman" w:hAnsi="Times New Roman"/>
          <w:iCs/>
          <w:color w:val="000000"/>
          <w:sz w:val="28"/>
          <w:szCs w:val="28"/>
        </w:rPr>
        <w:t>. разработка несколь</w:t>
      </w:r>
      <w:r w:rsidR="00E36502" w:rsidRPr="000128D7">
        <w:rPr>
          <w:rFonts w:ascii="Times New Roman" w:hAnsi="Times New Roman"/>
          <w:iCs/>
          <w:color w:val="000000"/>
          <w:sz w:val="28"/>
          <w:szCs w:val="28"/>
        </w:rPr>
        <w:t>ких мелких месторождений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128D7">
        <w:rPr>
          <w:rFonts w:ascii="Times New Roman" w:hAnsi="Times New Roman"/>
          <w:iCs/>
          <w:color w:val="000000"/>
          <w:sz w:val="28"/>
          <w:szCs w:val="28"/>
        </w:rPr>
        <w:t xml:space="preserve">а также некоторое увеличение производства марганцевых сплавов с </w:t>
      </w:r>
      <w:smartTag w:uri="urn:schemas-microsoft-com:office:smarttags" w:element="metricconverter">
        <w:smartTagPr>
          <w:attr w:name="ProductID" w:val="1998 г"/>
        </w:smartTagPr>
        <w:r w:rsidRPr="000128D7">
          <w:rPr>
            <w:rFonts w:ascii="Times New Roman" w:hAnsi="Times New Roman"/>
            <w:iCs/>
            <w:color w:val="000000"/>
            <w:sz w:val="28"/>
            <w:szCs w:val="28"/>
          </w:rPr>
          <w:t>1998 г</w:t>
        </w:r>
      </w:smartTag>
      <w:r w:rsidRPr="000128D7">
        <w:rPr>
          <w:rFonts w:ascii="Times New Roman" w:hAnsi="Times New Roman"/>
          <w:iCs/>
          <w:color w:val="000000"/>
          <w:sz w:val="28"/>
          <w:szCs w:val="28"/>
        </w:rPr>
        <w:t>. практически не изменило ситуацию с дефицитом металла в стране. Потребности России в марганцевом сырье по-прежнему покрываются за счет поставок с Украины и, в меньшей степени, из Казахстана, Грузии, Китая.</w:t>
      </w:r>
    </w:p>
    <w:p w:rsidR="00830D87" w:rsidRPr="000128D7" w:rsidRDefault="00E36502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iCs/>
          <w:color w:val="000000"/>
          <w:sz w:val="28"/>
          <w:szCs w:val="28"/>
        </w:rPr>
        <w:t>Около 90</w:t>
      </w:r>
      <w:r w:rsidR="00830D87" w:rsidRPr="000128D7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0128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30D87" w:rsidRPr="000128D7">
        <w:rPr>
          <w:rFonts w:ascii="Times New Roman" w:hAnsi="Times New Roman"/>
          <w:iCs/>
          <w:color w:val="000000"/>
          <w:sz w:val="28"/>
          <w:szCs w:val="28"/>
        </w:rPr>
        <w:t>потребляемого в России марганца используется в сталеплавильном производстве в виде сплавов - силикомарганца, ферромарганца (доменного, среднеуглеродистого, электропечного) металлического марганца.</w:t>
      </w:r>
    </w:p>
    <w:p w:rsidR="00830D87" w:rsidRPr="000128D7" w:rsidRDefault="00830D8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Марганцевые руды Громовского месторождения приурочены к поли- </w:t>
      </w:r>
      <w:r w:rsidR="00E36502" w:rsidRPr="000128D7">
        <w:rPr>
          <w:rFonts w:ascii="Times New Roman" w:hAnsi="Times New Roman"/>
          <w:color w:val="000000"/>
          <w:sz w:val="28"/>
          <w:szCs w:val="28"/>
        </w:rPr>
        <w:t>металлическому рудопроявлению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, расположенному в пределах юго-западной периферии Кадаинского полиметаллического узла. Рудовмещающая зона сужена марганцовистыми лимонитами с содержанием марганца от 5 до 36%. Прогнозные ресурсы марганцевых руд составляют 1623тыс. т, при среднем содержании марганца 27%. Из природных минералов наиболее широко </w:t>
      </w:r>
      <w:r w:rsidR="00E36502" w:rsidRPr="000128D7">
        <w:rPr>
          <w:rFonts w:ascii="Times New Roman" w:hAnsi="Times New Roman"/>
          <w:color w:val="000000"/>
          <w:sz w:val="28"/>
          <w:szCs w:val="28"/>
        </w:rPr>
        <w:t>распространены кварц, слюда, сфен, циркон</w:t>
      </w:r>
      <w:r w:rsidRPr="000128D7">
        <w:rPr>
          <w:rFonts w:ascii="Times New Roman" w:hAnsi="Times New Roman"/>
          <w:color w:val="000000"/>
          <w:sz w:val="28"/>
          <w:szCs w:val="28"/>
        </w:rPr>
        <w:t>, апатит, гетит, лимонит, каолинит, иллит. Главные рудные минералы составляют не более 25% , в том числе пиролюзит - 60% от общего количества рудных минералов, псиломелан - (20-30% , манганокальцит - 3-5% , вернадит - 5%.</w:t>
      </w:r>
    </w:p>
    <w:p w:rsidR="000D63BA" w:rsidRPr="000128D7" w:rsidRDefault="000D63BA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E1A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br w:type="page"/>
      </w:r>
      <w:r w:rsidRPr="000128D7">
        <w:rPr>
          <w:rFonts w:ascii="Times New Roman" w:hAnsi="Times New Roman"/>
          <w:b/>
          <w:color w:val="000000"/>
          <w:sz w:val="28"/>
          <w:szCs w:val="28"/>
        </w:rPr>
        <w:t xml:space="preserve">3 </w:t>
      </w:r>
      <w:r w:rsidR="003D2E1A" w:rsidRPr="000128D7">
        <w:rPr>
          <w:rFonts w:ascii="Times New Roman" w:hAnsi="Times New Roman"/>
          <w:b/>
          <w:color w:val="000000"/>
          <w:sz w:val="28"/>
          <w:szCs w:val="28"/>
        </w:rPr>
        <w:t>Условия производства</w:t>
      </w:r>
    </w:p>
    <w:p w:rsidR="003D2E1A" w:rsidRPr="000128D7" w:rsidRDefault="003D2E1A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2E1A" w:rsidRPr="000128D7" w:rsidRDefault="003D2E1A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Производство ферросиликомарганца будет осуществляться на базе Ремонтно-механического завода ОАО «ППГХО».</w:t>
      </w:r>
    </w:p>
    <w:p w:rsidR="003D2E1A" w:rsidRPr="000128D7" w:rsidRDefault="003D2E1A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Марганцевая руда с Громовского месторождения планируется поставлять на РМЗ тяжелым грузовым транспортом типа МАЗ, КАМАЗ. Протяженность трассы Громовское – РМЗ – 125 километров грунтовой дороги. С подрядчиком грузового транспорта обязательство закреплено договором, что дает уверенность в четком выполнении работ.</w:t>
      </w:r>
    </w:p>
    <w:p w:rsidR="003D2E1A" w:rsidRPr="000128D7" w:rsidRDefault="003D2E1A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Переобучения кадров будет осуществляться во время производства под руководством ведущих специалистов специализирующих заводов.</w:t>
      </w:r>
    </w:p>
    <w:p w:rsidR="003D2E1A" w:rsidRPr="000128D7" w:rsidRDefault="003D2E1A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Для организации производства ферросиликомарганца необходимо приобрести:</w:t>
      </w:r>
    </w:p>
    <w:p w:rsidR="003D2E1A" w:rsidRPr="000128D7" w:rsidRDefault="003D2E1A" w:rsidP="00690459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печь для получения ферросплавов;</w:t>
      </w:r>
    </w:p>
    <w:p w:rsidR="003D2E1A" w:rsidRPr="000128D7" w:rsidRDefault="003D2E1A" w:rsidP="00690459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электропечные трансформаторы;</w:t>
      </w:r>
    </w:p>
    <w:p w:rsidR="003D2E1A" w:rsidRPr="000128D7" w:rsidRDefault="003D2E1A" w:rsidP="00690459">
      <w:pPr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устройство загрузки шихты материалов в печь.</w:t>
      </w:r>
    </w:p>
    <w:p w:rsidR="003D2E1A" w:rsidRPr="000128D7" w:rsidRDefault="003D2E1A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При установке печи требуется специальная графитовая футеровка. Кроме того необходимо изготовить и смонтировать вспомогательное оборудование: бункера для хранения сыпучих шихтовых материалов.</w:t>
      </w:r>
    </w:p>
    <w:p w:rsidR="003D2E1A" w:rsidRPr="000128D7" w:rsidRDefault="003D2E1A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10EE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br w:type="page"/>
        <w:t xml:space="preserve">4 </w:t>
      </w:r>
      <w:r w:rsidR="00C610EE" w:rsidRPr="000128D7">
        <w:rPr>
          <w:rFonts w:ascii="Times New Roman" w:hAnsi="Times New Roman"/>
          <w:b/>
          <w:color w:val="000000"/>
          <w:sz w:val="28"/>
          <w:szCs w:val="28"/>
        </w:rPr>
        <w:t>Существо проекта</w:t>
      </w:r>
    </w:p>
    <w:p w:rsidR="00C610EE" w:rsidRPr="000128D7" w:rsidRDefault="00C610EE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10EE" w:rsidRPr="000128D7" w:rsidRDefault="00C610EE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В данном бизнес – проекте предлагается создание на базе ОАО «ППГХО» технологического комплекса по переработке марганцевой продукции Громовского месторождения с получением в качестве готовой продукции ферросиликомарганца, который используется для производства сварочных материалов (электроды и др.).</w:t>
      </w:r>
    </w:p>
    <w:p w:rsidR="00C610EE" w:rsidRPr="000128D7" w:rsidRDefault="00C610EE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Громовское месторождение является участком при Уртуйском разрезоуправлении ОАО «ППГХО».</w:t>
      </w:r>
    </w:p>
    <w:p w:rsidR="00C610EE" w:rsidRPr="000128D7" w:rsidRDefault="00C610EE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Юридический адрес: 674673, Россия, Забайкальский край, Приаргунский район, поселок Приаргунское, ОАО «Приаргунское производственное горно-химическое объединение».</w:t>
      </w:r>
    </w:p>
    <w:p w:rsidR="00690459" w:rsidRPr="000128D7" w:rsidRDefault="00C610EE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Год образования – 1993.</w:t>
      </w:r>
    </w:p>
    <w:p w:rsidR="00C610EE" w:rsidRPr="000128D7" w:rsidRDefault="00C610EE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Размер уставного капитала –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125 069 620 рублей.</w:t>
      </w:r>
    </w:p>
    <w:p w:rsidR="00690459" w:rsidRPr="000128D7" w:rsidRDefault="00C610EE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Осуществление данного проекта позволит сэкономить объединению значительные валютные средства. Ферросиликомарганец будет потребляться самим объединением. На сегодняшний день ферросиликомарганец для изготовления на Ремонтно–механическом заводе сварочных материалов приобретается в городе Ангарске, Иркутской области.</w:t>
      </w:r>
    </w:p>
    <w:p w:rsidR="00690459" w:rsidRPr="000128D7" w:rsidRDefault="00C610EE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Основным преимуществом товара является его применение на месте, что позволит использовать его оперативно с минимальными затратами при транспортировке.</w:t>
      </w:r>
    </w:p>
    <w:p w:rsidR="00690459" w:rsidRPr="000128D7" w:rsidRDefault="00C610EE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Содержание марганца в ферросиликомарганце 55,8%. Весь объем выпуска будет использован на месте, т.е. на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ОАО «ППГХО».</w:t>
      </w:r>
    </w:p>
    <w:p w:rsidR="007A4339" w:rsidRPr="000128D7" w:rsidRDefault="007A4339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339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br w:type="page"/>
      </w:r>
      <w:r w:rsidRPr="000128D7">
        <w:rPr>
          <w:rFonts w:ascii="Times New Roman" w:hAnsi="Times New Roman"/>
          <w:b/>
          <w:color w:val="000000"/>
          <w:sz w:val="28"/>
          <w:szCs w:val="28"/>
        </w:rPr>
        <w:t xml:space="preserve">5 </w:t>
      </w:r>
      <w:r w:rsidR="007A4339" w:rsidRPr="000128D7">
        <w:rPr>
          <w:rFonts w:ascii="Times New Roman" w:hAnsi="Times New Roman"/>
          <w:b/>
          <w:color w:val="000000"/>
          <w:sz w:val="28"/>
          <w:szCs w:val="28"/>
        </w:rPr>
        <w:t>Производственный план</w:t>
      </w:r>
    </w:p>
    <w:p w:rsidR="00690459" w:rsidRPr="000128D7" w:rsidRDefault="00690459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339" w:rsidRPr="000128D7" w:rsidRDefault="007A4339" w:rsidP="00690459">
      <w:pPr>
        <w:pStyle w:val="a3"/>
        <w:numPr>
          <w:ilvl w:val="1"/>
          <w:numId w:val="16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Географическое положение</w:t>
      </w:r>
    </w:p>
    <w:p w:rsidR="007A4339" w:rsidRPr="000128D7" w:rsidRDefault="007A4339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Громовское месторождение расположено в крайней юго-восточной части Восточного Забайкалья (степное Приаргунье) на территории Приаргунского района </w:t>
      </w:r>
      <w:r w:rsidR="00EE7F0C" w:rsidRPr="000128D7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на землях ААО им. С.Лазо.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Установленная площадь развития марганецсодержащих пород составляет более 0,35км</w:t>
      </w:r>
      <w:r w:rsidRPr="000128D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128D7">
        <w:rPr>
          <w:rFonts w:ascii="Times New Roman" w:hAnsi="Times New Roman"/>
          <w:color w:val="000000"/>
          <w:sz w:val="28"/>
          <w:szCs w:val="28"/>
        </w:rPr>
        <w:t>. Месторождение находится в 1</w:t>
      </w:r>
      <w:r w:rsidR="00257356" w:rsidRPr="000128D7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0128D7">
        <w:rPr>
          <w:rFonts w:ascii="Times New Roman" w:hAnsi="Times New Roman"/>
          <w:color w:val="000000"/>
          <w:sz w:val="28"/>
          <w:szCs w:val="28"/>
        </w:rPr>
        <w:t>км к северо-востоку от районного центра пос. Приаргунск. Рельеф площади Громовского месторождения имеет характер мелкосопочника с сетью распадков и оврагов. Абсолютные отметки 630-850м, относительные превышения над днищами распадков 100-120м.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Месторождение расположено на вершине куполообразной сопки, на водоразделе падей Сенькина и Громова.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Климат района континентальный. Зима с конца октября до середины апреля, малоснежная. Весна (середина апреля</w:t>
      </w:r>
      <w:r w:rsidR="00257356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-</w:t>
      </w:r>
      <w:r w:rsidR="00257356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конец мая) характеризуется неустойчивой погодой и сильными ветрами. Лето начинается в конце мая и продолжается до начала сентября с дневными температурами 17</w:t>
      </w:r>
      <w:r w:rsidRPr="000128D7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28D7">
        <w:rPr>
          <w:rFonts w:ascii="Times New Roman" w:hAnsi="Times New Roman"/>
          <w:color w:val="000000"/>
          <w:sz w:val="28"/>
          <w:szCs w:val="28"/>
        </w:rPr>
        <w:t>-23</w:t>
      </w:r>
      <w:r w:rsidRPr="000128D7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28D7">
        <w:rPr>
          <w:rFonts w:ascii="Times New Roman" w:hAnsi="Times New Roman"/>
          <w:color w:val="000000"/>
          <w:sz w:val="28"/>
          <w:szCs w:val="28"/>
        </w:rPr>
        <w:t>. Осень начало сентября</w:t>
      </w:r>
      <w:r w:rsidR="00257356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-</w:t>
      </w:r>
      <w:r w:rsidR="00257356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конец октября. Дни теплые, но с ночными заморозками.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На всей площади месторождения развит травянистый степной покров, в сельскохозяйственном обороте используемый как пастбище. Пашни расположены к юго-востоку и северо-востоку от месторождения на расстоянии, соответственно, 300м и 800м, площади сенокосов к северу и к югу на расстоянии 600-800м.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Крупным ближайшим водотоком является река Аргунь с притоками рек Верхняя Борзя и Урулюнгуй, расположенными на расстоянии соответственно: 6км, 11км, 10км, восточнее месторождения.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В 300м западнее месторождения находится законсервированный поселок Министерства обороны РФ с благоустроенными жилыми домами, гаражами, водозаборной скважиной и другими строениями. Вторая водозаборная скважина с погружным насосом, принадлежащая ААО им. С.Лазо, расположена в устье пади Сенькина в </w:t>
      </w:r>
      <w:smartTag w:uri="urn:schemas-microsoft-com:office:smarttags" w:element="metricconverter">
        <w:smartTagPr>
          <w:attr w:name="ProductID" w:val="1,7 км"/>
        </w:smartTagPr>
        <w:r w:rsidRPr="000128D7">
          <w:rPr>
            <w:rFonts w:ascii="Times New Roman" w:hAnsi="Times New Roman"/>
            <w:color w:val="000000"/>
            <w:sz w:val="28"/>
            <w:szCs w:val="28"/>
          </w:rPr>
          <w:t>1,7 км</w:t>
        </w:r>
      </w:smartTag>
      <w:r w:rsidRPr="000128D7">
        <w:rPr>
          <w:rFonts w:ascii="Times New Roman" w:hAnsi="Times New Roman"/>
          <w:color w:val="000000"/>
          <w:sz w:val="28"/>
          <w:szCs w:val="28"/>
        </w:rPr>
        <w:t xml:space="preserve"> южнее месторождения.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Громовское месторождение располагается в хорошо освоенном и достаточно населенном районе </w:t>
      </w:r>
      <w:r w:rsidR="003138A7" w:rsidRPr="000128D7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Pr="000128D7">
        <w:rPr>
          <w:rFonts w:ascii="Times New Roman" w:hAnsi="Times New Roman"/>
          <w:color w:val="000000"/>
          <w:sz w:val="28"/>
          <w:szCs w:val="28"/>
        </w:rPr>
        <w:t>. Ближайшие населенные пункты (10-</w:t>
      </w:r>
      <w:smartTag w:uri="urn:schemas-microsoft-com:office:smarttags" w:element="metricconverter">
        <w:smartTagPr>
          <w:attr w:name="ProductID" w:val="15 км"/>
        </w:smartTagPr>
        <w:r w:rsidRPr="000128D7">
          <w:rPr>
            <w:rFonts w:ascii="Times New Roman" w:hAnsi="Times New Roman"/>
            <w:color w:val="000000"/>
            <w:sz w:val="28"/>
            <w:szCs w:val="28"/>
          </w:rPr>
          <w:t>15 км</w:t>
        </w:r>
      </w:smartTag>
      <w:r w:rsidRPr="000128D7">
        <w:rPr>
          <w:rFonts w:ascii="Times New Roman" w:hAnsi="Times New Roman"/>
          <w:color w:val="000000"/>
          <w:sz w:val="28"/>
          <w:szCs w:val="28"/>
        </w:rPr>
        <w:t>)- поселок городского типа Приаргунск и усадьба ААО им. С.Лазо пос. Новоцурухайтуй.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Со всеми окрестными селами Громовское месторождение связано грунтовыми и проселочными дорогами, пригодными для движения любого автотранспорта практически в любое время года. В </w:t>
      </w:r>
      <w:smartTag w:uri="urn:schemas-microsoft-com:office:smarttags" w:element="metricconverter">
        <w:smartTagPr>
          <w:attr w:name="ProductID" w:val="1 км"/>
        </w:smartTagPr>
        <w:r w:rsidRPr="000128D7">
          <w:rPr>
            <w:rFonts w:ascii="Times New Roman" w:hAnsi="Times New Roman"/>
            <w:color w:val="000000"/>
            <w:sz w:val="28"/>
            <w:szCs w:val="28"/>
          </w:rPr>
          <w:t>1 км</w:t>
        </w:r>
      </w:smartTag>
      <w:r w:rsidRPr="000128D7">
        <w:rPr>
          <w:rFonts w:ascii="Times New Roman" w:hAnsi="Times New Roman"/>
          <w:color w:val="000000"/>
          <w:sz w:val="28"/>
          <w:szCs w:val="28"/>
        </w:rPr>
        <w:t xml:space="preserve"> к востоку от месторождения проходит автомобильная дорога с улучшенным твердым покрытием Приаргунск - Заргол. Расстояние по железной дороге от ст. Приаргунск до ст. Краснокаменск составляет </w:t>
      </w:r>
      <w:smartTag w:uri="urn:schemas-microsoft-com:office:smarttags" w:element="metricconverter">
        <w:smartTagPr>
          <w:attr w:name="ProductID" w:val="90 км"/>
        </w:smartTagPr>
        <w:r w:rsidRPr="000128D7">
          <w:rPr>
            <w:rFonts w:ascii="Times New Roman" w:hAnsi="Times New Roman"/>
            <w:color w:val="000000"/>
            <w:sz w:val="28"/>
            <w:szCs w:val="28"/>
          </w:rPr>
          <w:t>90 км</w:t>
        </w:r>
      </w:smartTag>
      <w:r w:rsidRPr="000128D7">
        <w:rPr>
          <w:rFonts w:ascii="Times New Roman" w:hAnsi="Times New Roman"/>
          <w:color w:val="000000"/>
          <w:sz w:val="28"/>
          <w:szCs w:val="28"/>
        </w:rPr>
        <w:t>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Непосредственно через месторождение проходит высоковольтная ЛЭП (ВЛ -110Кв).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Разработка полезного ископаемого производится открытым способом. Добычу руды предусматривается осуществлять экскаватором ЭКГ - 5А</w:t>
      </w:r>
      <w:r w:rsidR="00383C24" w:rsidRPr="000128D7">
        <w:rPr>
          <w:rFonts w:ascii="Times New Roman" w:hAnsi="Times New Roman"/>
          <w:color w:val="000000"/>
          <w:sz w:val="28"/>
          <w:szCs w:val="28"/>
        </w:rPr>
        <w:t>,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транспортирование - автомобильным транспортом до склада на </w:t>
      </w:r>
      <w:r w:rsidR="00B27384" w:rsidRPr="000128D7">
        <w:rPr>
          <w:rFonts w:ascii="Times New Roman" w:hAnsi="Times New Roman"/>
          <w:color w:val="000000"/>
          <w:sz w:val="28"/>
          <w:szCs w:val="28"/>
        </w:rPr>
        <w:t>Р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МЗ ОАО </w:t>
      </w:r>
      <w:r w:rsidR="00383C24" w:rsidRPr="000128D7">
        <w:rPr>
          <w:rFonts w:ascii="Times New Roman" w:hAnsi="Times New Roman"/>
          <w:color w:val="000000"/>
          <w:sz w:val="28"/>
          <w:szCs w:val="28"/>
        </w:rPr>
        <w:t>«</w:t>
      </w:r>
      <w:r w:rsidRPr="000128D7">
        <w:rPr>
          <w:rFonts w:ascii="Times New Roman" w:hAnsi="Times New Roman"/>
          <w:color w:val="000000"/>
          <w:sz w:val="28"/>
          <w:szCs w:val="28"/>
        </w:rPr>
        <w:t>ППГХО</w:t>
      </w:r>
      <w:r w:rsidR="00383C24" w:rsidRPr="000128D7">
        <w:rPr>
          <w:rFonts w:ascii="Times New Roman" w:hAnsi="Times New Roman"/>
          <w:color w:val="000000"/>
          <w:sz w:val="28"/>
          <w:szCs w:val="28"/>
        </w:rPr>
        <w:t>»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по маршруту Приаргунск - Краснокаменск.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Проектная производительность - 45 тыс. тонн/год.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Работы проводятся вахтовым методом с использованием имеющейся на объединении рабочей силы и </w:t>
      </w:r>
      <w:r w:rsidR="00CF24B7" w:rsidRPr="000128D7">
        <w:rPr>
          <w:rFonts w:ascii="Times New Roman" w:hAnsi="Times New Roman"/>
          <w:color w:val="000000"/>
          <w:sz w:val="28"/>
          <w:szCs w:val="28"/>
        </w:rPr>
        <w:t>горнотранспортного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оборудования. Базовое подразделение ОАО </w:t>
      </w:r>
      <w:r w:rsidR="00AF0E2A" w:rsidRPr="000128D7">
        <w:rPr>
          <w:rFonts w:ascii="Times New Roman" w:hAnsi="Times New Roman"/>
          <w:color w:val="000000"/>
          <w:sz w:val="28"/>
          <w:szCs w:val="28"/>
        </w:rPr>
        <w:t>«</w:t>
      </w:r>
      <w:r w:rsidRPr="000128D7">
        <w:rPr>
          <w:rFonts w:ascii="Times New Roman" w:hAnsi="Times New Roman"/>
          <w:color w:val="000000"/>
          <w:sz w:val="28"/>
          <w:szCs w:val="28"/>
        </w:rPr>
        <w:t>ППГХО</w:t>
      </w:r>
      <w:r w:rsidR="00AF0E2A" w:rsidRPr="000128D7">
        <w:rPr>
          <w:rFonts w:ascii="Times New Roman" w:hAnsi="Times New Roman"/>
          <w:color w:val="000000"/>
          <w:sz w:val="28"/>
          <w:szCs w:val="28"/>
        </w:rPr>
        <w:t>»</w:t>
      </w:r>
      <w:r w:rsidRPr="000128D7">
        <w:rPr>
          <w:rFonts w:ascii="Times New Roman" w:hAnsi="Times New Roman"/>
          <w:color w:val="000000"/>
          <w:sz w:val="28"/>
          <w:szCs w:val="28"/>
        </w:rPr>
        <w:t>, ведущее горные работы на месторождении, расположено в Краснокаменском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районе в 12</w:t>
      </w:r>
      <w:r w:rsidR="00AF0E2A" w:rsidRPr="000128D7">
        <w:rPr>
          <w:rFonts w:ascii="Times New Roman" w:hAnsi="Times New Roman"/>
          <w:color w:val="000000"/>
          <w:sz w:val="28"/>
          <w:szCs w:val="28"/>
        </w:rPr>
        <w:t>5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км от месторождения.</w:t>
      </w:r>
    </w:p>
    <w:p w:rsidR="00CF24B7" w:rsidRPr="000128D7" w:rsidRDefault="00CF24B7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8A7" w:rsidRPr="000128D7" w:rsidRDefault="00CF24B7" w:rsidP="00690459">
      <w:pPr>
        <w:pStyle w:val="a3"/>
        <w:numPr>
          <w:ilvl w:val="1"/>
          <w:numId w:val="16"/>
        </w:numPr>
        <w:shd w:val="clear" w:color="000000" w:fill="auto"/>
        <w:tabs>
          <w:tab w:val="left" w:pos="567"/>
          <w:tab w:val="left" w:pos="8505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Краткая горно-геологическая характеристика месторождения</w:t>
      </w:r>
    </w:p>
    <w:p w:rsidR="00CF24B7" w:rsidRPr="000128D7" w:rsidRDefault="00CF24B7" w:rsidP="00690459">
      <w:pPr>
        <w:pStyle w:val="a3"/>
        <w:shd w:val="clear" w:color="000000" w:fill="auto"/>
        <w:tabs>
          <w:tab w:val="left" w:pos="8505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Громовское месторождение марганца расположено в правом борту пади </w:t>
      </w:r>
      <w:r w:rsidR="00AF0E2A" w:rsidRPr="000128D7">
        <w:rPr>
          <w:rFonts w:ascii="Times New Roman" w:hAnsi="Times New Roman"/>
          <w:color w:val="000000"/>
          <w:sz w:val="28"/>
          <w:szCs w:val="28"/>
        </w:rPr>
        <w:t>«</w:t>
      </w:r>
      <w:r w:rsidRPr="000128D7">
        <w:rPr>
          <w:rFonts w:ascii="Times New Roman" w:hAnsi="Times New Roman"/>
          <w:color w:val="000000"/>
          <w:sz w:val="28"/>
          <w:szCs w:val="28"/>
        </w:rPr>
        <w:t>Сенькина</w:t>
      </w:r>
      <w:r w:rsidR="00AF0E2A" w:rsidRPr="000128D7">
        <w:rPr>
          <w:rFonts w:ascii="Times New Roman" w:hAnsi="Times New Roman"/>
          <w:color w:val="000000"/>
          <w:sz w:val="28"/>
          <w:szCs w:val="28"/>
        </w:rPr>
        <w:t>»</w:t>
      </w:r>
      <w:r w:rsidRPr="000128D7">
        <w:rPr>
          <w:rFonts w:ascii="Times New Roman" w:hAnsi="Times New Roman"/>
          <w:color w:val="000000"/>
          <w:sz w:val="28"/>
          <w:szCs w:val="28"/>
        </w:rPr>
        <w:t>. Месторождение представляет собой пологую рудную залежь, вытянутую в северно-восточном направлении более чем на 600м при ширине от 200 до 400м. Площадь месторождения составляет 0,4 км</w:t>
      </w:r>
      <w:r w:rsidRPr="000128D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0128D7">
        <w:rPr>
          <w:rFonts w:ascii="Times New Roman" w:hAnsi="Times New Roman"/>
          <w:color w:val="000000"/>
          <w:sz w:val="28"/>
          <w:szCs w:val="28"/>
        </w:rPr>
        <w:t>. В краевых частях залежи марганцевое оруденение выходит непосредственно под рыхлые отложения, т.е. практически на поверхность.</w:t>
      </w:r>
    </w:p>
    <w:p w:rsidR="0069045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Громовское месторождение марганца сложено толщей Уруленгу</w:t>
      </w:r>
      <w:r w:rsidR="006C7471" w:rsidRPr="000128D7">
        <w:rPr>
          <w:rFonts w:ascii="Times New Roman" w:hAnsi="Times New Roman"/>
          <w:color w:val="000000"/>
          <w:sz w:val="28"/>
          <w:szCs w:val="28"/>
        </w:rPr>
        <w:t>й</w:t>
      </w:r>
      <w:r w:rsidRPr="000128D7">
        <w:rPr>
          <w:rFonts w:ascii="Times New Roman" w:hAnsi="Times New Roman"/>
          <w:color w:val="000000"/>
          <w:sz w:val="28"/>
          <w:szCs w:val="28"/>
        </w:rPr>
        <w:t>ской свиты венда, представленной аркозовыми песчаниками, алевролитами, гравелитами, карбонатными породами. Карбонатно-терригенные отложения смяты в крупные пологие складки.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Марганцевое и полиметаллическое оруденение локализуется в толще верхнеурулюнгуевской свиты венда, в пачке чередования известняков и доломитов (превращенных местами в талькиты) с горизонтами филлитовидных сланцев и рассланцованых алевролитов общей мощностью от 40-60м до 150м. Мощность отдельных горизонтов карбонатных пород и сланцев варьирует от 15 -</w:t>
      </w:r>
      <w:r w:rsidR="00AF0E2A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30м до 40 - 50м. Среди карбонатных пород широко развиты доломиты, которые, по-видимому, являются вторичными, т.е. доломитизированными известняками. Выделяются субпластовые тела так называемых </w:t>
      </w:r>
      <w:r w:rsidR="006C7471" w:rsidRPr="000128D7">
        <w:rPr>
          <w:rFonts w:ascii="Times New Roman" w:hAnsi="Times New Roman"/>
          <w:color w:val="000000"/>
          <w:sz w:val="28"/>
          <w:szCs w:val="28"/>
        </w:rPr>
        <w:t>«</w:t>
      </w:r>
      <w:r w:rsidRPr="000128D7">
        <w:rPr>
          <w:rFonts w:ascii="Times New Roman" w:hAnsi="Times New Roman"/>
          <w:color w:val="000000"/>
          <w:sz w:val="28"/>
          <w:szCs w:val="28"/>
        </w:rPr>
        <w:t>талькитов</w:t>
      </w:r>
      <w:r w:rsidR="006C7471" w:rsidRPr="000128D7">
        <w:rPr>
          <w:rFonts w:ascii="Times New Roman" w:hAnsi="Times New Roman"/>
          <w:color w:val="000000"/>
          <w:sz w:val="28"/>
          <w:szCs w:val="28"/>
        </w:rPr>
        <w:t>»</w:t>
      </w:r>
      <w:r w:rsidRPr="000128D7">
        <w:rPr>
          <w:rFonts w:ascii="Times New Roman" w:hAnsi="Times New Roman"/>
          <w:color w:val="000000"/>
          <w:sz w:val="28"/>
          <w:szCs w:val="28"/>
        </w:rPr>
        <w:t>, которые располагаются среди доломитов или на контакте их со сланцами. Они представляют собой гидротермально измененные магнезиально-карбонатные породы, т.е. оталькованные доломиты.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Терригенные породы (различные сланцы, алевролиты, песчаники) обычно нацело осветлены и нередко ожелезнены в результате проявления гидротермальных и гипергенных процессов. К гидротермальным изменениям относятся широко проявленная серитизация, окварцевание, пиритизация, иногда хлоритизация пород. Более поздняя - локально проявлена интенсивная аргиллизация пород, среди метасоматитов которой, содержатся реликты талька, серицита и др.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Рудовмещающие породы Громовского месторождения интенсивно гидротермально переработаны, аргиллизированы, гипергенно каолинизированы и окремнены, сильно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лимонитизированы и омарганцованы. Они имеют облик песчанистых лимонит - пиролюзит - псиломелановых масс с желваками пористых марганцевых руд. Мощность зоны окисления превышает 150м.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На площади месторождения и его ближайшего окружения, установлены разрывные нарушения субмеридионального (С - С - В), северо-восточного и субширотного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направлений.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Наиболее крупные разрывные нарушения северо-восточного простирания прослеживаются на южном и юго-восточном фланге месторождения более чем на 3км. Два крупных субпараллельных нарушения широтного простирания (протяженностью более 3км) установлены к северу от месторождения и одно менее крупное на его южном фланге.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Основное рудное тело располагается в единой рудоконтролирующей зоне, которая в разрезе плавно изгибается и пересекается с пологими нарушениями (послойными срывами). Соответственно рудные тела имеют S-образный или фексурообразный перегиб. Вблизи поверхности они имеют близгоризонтальное залегание, глубже - более крутое (угол 30-35</w:t>
      </w:r>
      <w:r w:rsidRPr="000128D7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28D7">
        <w:rPr>
          <w:rFonts w:ascii="Times New Roman" w:hAnsi="Times New Roman"/>
          <w:color w:val="000000"/>
          <w:sz w:val="28"/>
          <w:szCs w:val="28"/>
        </w:rPr>
        <w:t>) и на глубине - снова горизонтальное. Морфология рудных тел и условия их залегания обусловлены не только рудоконтролирующей зоной, но и литологическим составом вмещающих пород. На площади месторождения пласт доломитов (доломитизированных известняков) является основной рудовмещающей породой для полиметаллического оруденения и марганцевых руд.</w:t>
      </w:r>
    </w:p>
    <w:p w:rsidR="0069045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Западная часть основных рудных тел имеет пологую чашеобразную, изометрическую форму (150х170м) с углами падения -5-12</w:t>
      </w:r>
      <w:r w:rsidRPr="000128D7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28D7">
        <w:rPr>
          <w:rFonts w:ascii="Times New Roman" w:hAnsi="Times New Roman"/>
          <w:color w:val="000000"/>
          <w:sz w:val="28"/>
          <w:szCs w:val="28"/>
        </w:rPr>
        <w:t>. Центральная часть от поверхности погружена более чем на 25м. Истинная мощность рудного тела колеблется от 1,0 до 7,5м, с содержанием МnО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от 10% до 20,4%.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Северная часть основных </w:t>
      </w:r>
      <w:r w:rsidR="00610B79" w:rsidRPr="000128D7">
        <w:rPr>
          <w:rFonts w:ascii="Times New Roman" w:hAnsi="Times New Roman"/>
          <w:color w:val="000000"/>
          <w:sz w:val="28"/>
          <w:szCs w:val="28"/>
        </w:rPr>
        <w:t>рудных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тел вытянута в близмеридиональное направление, в разрезе обладает линзообразной, пластообразной формой. Залегание пологопадающее (угол 2-15</w:t>
      </w:r>
      <w:r w:rsidRPr="000128D7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28D7">
        <w:rPr>
          <w:rFonts w:ascii="Times New Roman" w:hAnsi="Times New Roman"/>
          <w:color w:val="000000"/>
          <w:sz w:val="28"/>
          <w:szCs w:val="28"/>
        </w:rPr>
        <w:t>) на запад.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На восточном фланге рудное тело выходит на поверхность и в плане имеет S-образную форму. Средняя истинная мощность пласта - 5,91м, содержание МnО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 w:rsidRPr="000128D7">
        <w:rPr>
          <w:rFonts w:ascii="Times New Roman" w:hAnsi="Times New Roman"/>
          <w:color w:val="000000"/>
          <w:sz w:val="28"/>
          <w:szCs w:val="28"/>
        </w:rPr>
        <w:t>- 13,46%.</w:t>
      </w:r>
    </w:p>
    <w:p w:rsidR="007A4339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Северная группа рудных тел представлена пологими (с углами от 0-15</w:t>
      </w:r>
      <w:r w:rsidRPr="000128D7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до 30-35</w:t>
      </w:r>
      <w:r w:rsidRPr="000128D7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0128D7">
        <w:rPr>
          <w:rFonts w:ascii="Times New Roman" w:hAnsi="Times New Roman"/>
          <w:color w:val="000000"/>
          <w:sz w:val="28"/>
          <w:szCs w:val="28"/>
        </w:rPr>
        <w:t>) линзами мощностью 1,5-7,9м. По падению они прослежены на 25-70м, по простиранию - более 70-80м.</w:t>
      </w:r>
    </w:p>
    <w:p w:rsidR="00341F21" w:rsidRPr="000128D7" w:rsidRDefault="007A4339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Громовское месторождение марганца, характеризующееся мелкими пластообразными и линзообразными, не выдержанными по строению, мощности и качеству полезного ископаемого залежами и по сложности геологического строения относится к III-ей группе месторождений</w:t>
      </w:r>
      <w:r w:rsidR="00FD3E1E" w:rsidRPr="000128D7">
        <w:rPr>
          <w:rFonts w:ascii="Times New Roman" w:hAnsi="Times New Roman"/>
          <w:color w:val="000000"/>
          <w:sz w:val="28"/>
          <w:szCs w:val="28"/>
        </w:rPr>
        <w:t>.</w:t>
      </w:r>
    </w:p>
    <w:p w:rsidR="00FD3E1E" w:rsidRPr="000128D7" w:rsidRDefault="00FD3E1E" w:rsidP="00690459">
      <w:pPr>
        <w:shd w:val="clear" w:color="000000" w:fill="auto"/>
        <w:tabs>
          <w:tab w:val="left" w:pos="850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F21" w:rsidRPr="000128D7" w:rsidRDefault="00341F21" w:rsidP="00690459">
      <w:pPr>
        <w:pStyle w:val="2"/>
        <w:keepNext w:val="0"/>
        <w:numPr>
          <w:ilvl w:val="1"/>
          <w:numId w:val="16"/>
        </w:numPr>
        <w:shd w:val="clear" w:color="000000" w:fill="auto"/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/>
        </w:rPr>
      </w:pPr>
      <w:r w:rsidRPr="000128D7">
        <w:rPr>
          <w:rFonts w:ascii="Times New Roman" w:hAnsi="Times New Roman" w:cs="Times New Roman"/>
          <w:i w:val="0"/>
          <w:color w:val="000000"/>
        </w:rPr>
        <w:t>Графическая схема производственного процесса</w:t>
      </w:r>
    </w:p>
    <w:p w:rsidR="00341F21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Производственный процесс на Громовском месторождении представлен в виде:</w:t>
      </w:r>
    </w:p>
    <w:p w:rsidR="00690459" w:rsidRPr="000128D7" w:rsidRDefault="00A30507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43392" from="63pt,18pt" to="63pt,45pt">
            <v:stroke endarrow="block"/>
          </v:line>
        </w:pict>
      </w:r>
      <w:r w:rsidR="00341F21" w:rsidRPr="000128D7">
        <w:rPr>
          <w:color w:val="000000"/>
          <w:sz w:val="28"/>
          <w:szCs w:val="28"/>
        </w:rPr>
        <w:t>Горно — подготовительные работы</w:t>
      </w:r>
    </w:p>
    <w:p w:rsidR="00341F21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A30507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46464" from="63pt,14.7pt" to="63pt,41.7pt">
            <v:stroke endarrow="block"/>
          </v:line>
        </w:pict>
      </w:r>
      <w:r w:rsidR="00341F21" w:rsidRPr="000128D7">
        <w:rPr>
          <w:color w:val="000000"/>
          <w:sz w:val="28"/>
          <w:szCs w:val="28"/>
        </w:rPr>
        <w:t>Добыча</w:t>
      </w:r>
    </w:p>
    <w:p w:rsidR="00341F21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A30507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8" style="position:absolute;left:0;text-align:left;z-index:251645440" from="63pt,20.4pt" to="63pt,47.4pt">
            <v:stroke endarrow="block"/>
          </v:line>
        </w:pict>
      </w:r>
      <w:r w:rsidR="00341F21" w:rsidRPr="000128D7">
        <w:rPr>
          <w:color w:val="000000"/>
          <w:sz w:val="28"/>
          <w:szCs w:val="28"/>
        </w:rPr>
        <w:t>Погрузка в автосамосвалы</w:t>
      </w:r>
    </w:p>
    <w:p w:rsidR="00341F21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A30507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251644416" from="63pt,17.1pt" to="63pt,44.1pt">
            <v:stroke endarrow="block"/>
          </v:line>
        </w:pict>
      </w:r>
      <w:r w:rsidR="00341F21" w:rsidRPr="000128D7">
        <w:rPr>
          <w:color w:val="000000"/>
          <w:sz w:val="28"/>
          <w:szCs w:val="28"/>
        </w:rPr>
        <w:t>Обогатительная фабрика</w:t>
      </w:r>
    </w:p>
    <w:p w:rsidR="00341F21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Вывоз на склад готовой продукции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41F21" w:rsidRPr="000128D7" w:rsidRDefault="00341F21" w:rsidP="00690459">
      <w:pPr>
        <w:pStyle w:val="a4"/>
        <w:numPr>
          <w:ilvl w:val="1"/>
          <w:numId w:val="16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>Состав необходимого оборудования</w:t>
      </w:r>
    </w:p>
    <w:p w:rsidR="00341F21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90459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Создание производства ферросиликомарганца возможно на базе литейного цеха ремонтно-механического завода предприятия (РМЗ). Для организации производства необходимо приобрести:</w:t>
      </w:r>
    </w:p>
    <w:p w:rsidR="00690459" w:rsidRPr="000128D7" w:rsidRDefault="00341F21" w:rsidP="00690459">
      <w:pPr>
        <w:pStyle w:val="a4"/>
        <w:numPr>
          <w:ilvl w:val="0"/>
          <w:numId w:val="4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печь для получения ферросплавов;</w:t>
      </w:r>
    </w:p>
    <w:p w:rsidR="00690459" w:rsidRPr="000128D7" w:rsidRDefault="00341F21" w:rsidP="00690459">
      <w:pPr>
        <w:pStyle w:val="a4"/>
        <w:numPr>
          <w:ilvl w:val="0"/>
          <w:numId w:val="4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электропечные трансформаторы;</w:t>
      </w:r>
    </w:p>
    <w:p w:rsidR="00690459" w:rsidRPr="000128D7" w:rsidRDefault="00341F21" w:rsidP="00690459">
      <w:pPr>
        <w:pStyle w:val="a4"/>
        <w:numPr>
          <w:ilvl w:val="0"/>
          <w:numId w:val="4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устройство загрузки шихты материалов в печь.</w:t>
      </w:r>
    </w:p>
    <w:p w:rsidR="00690459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При установке печи требуется специальная графитовая футеровка. Кроме того, необходимо изготовить и смонтировать вспомогательное оборудование: бункера для хранения сыпучих шихтовочных материалов, изложницу для разлива ферросплавов и другое.</w:t>
      </w:r>
    </w:p>
    <w:p w:rsidR="00690459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Перечень оборудования, необходимого для выпуска</w:t>
      </w:r>
    </w:p>
    <w:p w:rsidR="00341F21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ферросиликомарганцевой продукции, представлен в таблице 1.</w:t>
      </w:r>
    </w:p>
    <w:p w:rsidR="00341F21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41F21" w:rsidRPr="000128D7" w:rsidRDefault="00341F2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>Таблица 1</w:t>
      </w:r>
      <w:r w:rsidR="008C67FF" w:rsidRPr="000128D7">
        <w:rPr>
          <w:b/>
          <w:color w:val="000000"/>
          <w:sz w:val="28"/>
          <w:szCs w:val="28"/>
        </w:rPr>
        <w:t>.</w:t>
      </w:r>
      <w:r w:rsidR="00690459" w:rsidRPr="000128D7">
        <w:rPr>
          <w:b/>
          <w:color w:val="000000"/>
          <w:sz w:val="28"/>
          <w:szCs w:val="28"/>
        </w:rPr>
        <w:t xml:space="preserve"> </w:t>
      </w:r>
      <w:r w:rsidRPr="000128D7">
        <w:rPr>
          <w:b/>
          <w:color w:val="000000"/>
          <w:sz w:val="28"/>
          <w:szCs w:val="28"/>
        </w:rPr>
        <w:t>Перечень оборудования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552"/>
      </w:tblGrid>
      <w:tr w:rsidR="00341F21" w:rsidRPr="000128D7" w:rsidTr="000128D7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90459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Наименование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основных фондов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690459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Количество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единиц</w:t>
            </w:r>
          </w:p>
        </w:tc>
      </w:tr>
      <w:tr w:rsidR="00341F21" w:rsidRPr="000128D7" w:rsidTr="000128D7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90459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bCs/>
                <w:color w:val="000000"/>
                <w:sz w:val="20"/>
              </w:rPr>
            </w:pPr>
            <w:r w:rsidRPr="000128D7">
              <w:rPr>
                <w:bCs/>
                <w:color w:val="000000"/>
                <w:sz w:val="20"/>
              </w:rPr>
              <w:t>Ферросиликомарганец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Передвижной агрегат СМД26Б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Передвижной агрегат СМД27Б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Питатель ленточный ПЛОО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Мельница МШР 2100х2200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Классификатор 1 КСН-12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Насосы песков. П12,5/12,5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Сгуститель Ц6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Грохот ГИТ-З2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Отсадочная машина МОД 0,2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Отсадочная машина МОД 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Отсадочная машина МОД 2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Классификатор КСН-З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Классификатор </w:t>
            </w:r>
            <w:r w:rsidRPr="000128D7">
              <w:rPr>
                <w:iCs/>
                <w:color w:val="000000"/>
                <w:sz w:val="20"/>
              </w:rPr>
              <w:t>КСН-7,5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Классификатор КСН-1,0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Печи эл. термические ДСПЗ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Экспресс-анализатор с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принадлеж. на «С» АН-75-79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Экспресс-анализатор с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принадлеж. на «</w:t>
            </w:r>
            <w:r w:rsidRPr="000128D7">
              <w:rPr>
                <w:color w:val="000000"/>
                <w:sz w:val="20"/>
                <w:lang w:val="en-US"/>
              </w:rPr>
              <w:t>S</w:t>
            </w:r>
            <w:r w:rsidRPr="000128D7">
              <w:rPr>
                <w:color w:val="000000"/>
                <w:sz w:val="20"/>
              </w:rPr>
              <w:t>» АН-75-32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Спектометр «Спектроскан»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Анализатор спектральный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для определения ртути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Анализатор РДУ «Фарад»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  <w:p w:rsidR="00341F21" w:rsidRPr="000128D7" w:rsidRDefault="00341F21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</w:t>
            </w:r>
          </w:p>
        </w:tc>
      </w:tr>
    </w:tbl>
    <w:p w:rsidR="00341F21" w:rsidRPr="000128D7" w:rsidRDefault="008C67FF" w:rsidP="00690459">
      <w:pPr>
        <w:pStyle w:val="a4"/>
        <w:numPr>
          <w:ilvl w:val="1"/>
          <w:numId w:val="16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>Организация производства на предприятии</w:t>
      </w:r>
    </w:p>
    <w:p w:rsidR="0062132F" w:rsidRPr="000128D7" w:rsidRDefault="0062132F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2132F" w:rsidRPr="000128D7" w:rsidRDefault="0062132F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Участок «Громовский» работает круглосуточно. Работы проводятся вахтовым методом, двумя бригадами по 15 дней. Машинисты ЭКГ, помощники машиниста и машинисты буровой установки с помощниками работают круглосуточно в две смены по 11 часов. Остальной персонал работает с 8.00 до 20.00 по 11 часов до конца вахты. Рабочие производственных бань, пробоотборщик и приемосдатчик работают по 8 часов 40 часовой рабочей недели с 8.00 до 17.00.</w:t>
      </w:r>
    </w:p>
    <w:p w:rsidR="0062132F" w:rsidRPr="000128D7" w:rsidRDefault="0062132F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Руководство участка состоит из 6 человек: начальник участка, зам. начальника участка, 2 начальника вахты, 2 электромеханика занимаются распределением и выдачей нарядов рабочим, организуют и контролируют рабочие места. Так же в обязанности ИТР входит получение и доставка материалов со склада, внедрение новых технологий, улучшение качества и производительности труда. Для эффективной работы участка составим баланс рабочего времени и рассчитаем численность рабочих.</w:t>
      </w:r>
    </w:p>
    <w:p w:rsidR="008C67FF" w:rsidRPr="000128D7" w:rsidRDefault="008C67FF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32F" w:rsidRPr="000128D7" w:rsidRDefault="0062132F" w:rsidP="00690459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 xml:space="preserve">Таблица </w:t>
      </w:r>
      <w:r w:rsidR="00D9501C" w:rsidRPr="000128D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C67FF" w:rsidRPr="000128D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9501C" w:rsidRPr="000128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b/>
          <w:color w:val="000000"/>
          <w:sz w:val="28"/>
          <w:szCs w:val="28"/>
        </w:rPr>
        <w:t>Баланс рабочего времени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340"/>
      </w:tblGrid>
      <w:tr w:rsidR="0062132F" w:rsidRPr="000128D7" w:rsidTr="000128D7">
        <w:trPr>
          <w:trHeight w:val="60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дней</w:t>
            </w:r>
          </w:p>
        </w:tc>
      </w:tr>
      <w:tr w:rsidR="0062132F" w:rsidRPr="000128D7" w:rsidTr="000128D7">
        <w:trPr>
          <w:trHeight w:val="34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фонд рабочего времени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365</w:t>
            </w:r>
          </w:p>
        </w:tc>
      </w:tr>
      <w:tr w:rsidR="0062132F" w:rsidRPr="000128D7" w:rsidTr="000128D7">
        <w:trPr>
          <w:trHeight w:val="54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Праздничные дни</w:t>
            </w:r>
          </w:p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Выходные дни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</w:tr>
      <w:tr w:rsidR="0062132F" w:rsidRPr="000128D7" w:rsidTr="000128D7">
        <w:trPr>
          <w:trHeight w:val="42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Номинальный фонд рабочего времени</w:t>
            </w:r>
          </w:p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251</w:t>
            </w:r>
          </w:p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2132F" w:rsidRPr="000128D7" w:rsidTr="000128D7">
        <w:trPr>
          <w:trHeight w:val="1020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Отпуска</w:t>
            </w:r>
          </w:p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обязанности</w:t>
            </w:r>
          </w:p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Больничные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62132F" w:rsidRPr="000128D7" w:rsidTr="000128D7">
        <w:trPr>
          <w:trHeight w:val="691"/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Эффективный фонд рабочего времени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2132F" w:rsidRPr="000128D7" w:rsidRDefault="0062132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</w:tr>
    </w:tbl>
    <w:p w:rsidR="0062132F" w:rsidRPr="000128D7" w:rsidRDefault="0062132F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459" w:rsidRPr="000128D7" w:rsidRDefault="0062132F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Расчет коэффициента списочного состава для непрерывного режима работы:</w:t>
      </w:r>
    </w:p>
    <w:p w:rsidR="00690459" w:rsidRPr="000128D7" w:rsidRDefault="0062132F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с.с </w:t>
      </w:r>
      <w:r w:rsidRPr="000128D7">
        <w:rPr>
          <w:rFonts w:ascii="Times New Roman" w:hAnsi="Times New Roman"/>
          <w:color w:val="000000"/>
          <w:sz w:val="28"/>
          <w:szCs w:val="28"/>
        </w:rPr>
        <w:t>=Т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>н.ф</w:t>
      </w:r>
      <w:r w:rsidRPr="000128D7">
        <w:rPr>
          <w:rFonts w:ascii="Times New Roman" w:hAnsi="Times New Roman"/>
          <w:color w:val="000000"/>
          <w:sz w:val="28"/>
          <w:szCs w:val="28"/>
        </w:rPr>
        <w:t>./Т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>эф</w:t>
      </w:r>
      <w:r w:rsidR="00690459"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7960B3" w:rsidRPr="000128D7">
        <w:rPr>
          <w:rFonts w:ascii="Times New Roman" w:hAnsi="Times New Roman"/>
          <w:color w:val="000000"/>
          <w:sz w:val="28"/>
          <w:szCs w:val="28"/>
        </w:rPr>
        <w:t>(1)</w:t>
      </w:r>
    </w:p>
    <w:p w:rsidR="0062132F" w:rsidRPr="000128D7" w:rsidRDefault="0062132F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К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с.с </w:t>
      </w:r>
      <w:r w:rsidRPr="000128D7">
        <w:rPr>
          <w:rFonts w:ascii="Times New Roman" w:hAnsi="Times New Roman"/>
          <w:color w:val="000000"/>
          <w:sz w:val="28"/>
          <w:szCs w:val="28"/>
        </w:rPr>
        <w:t>=251/205=1,2</w:t>
      </w:r>
    </w:p>
    <w:p w:rsidR="0062132F" w:rsidRPr="000128D7" w:rsidRDefault="0062132F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Где Тнф –</w:t>
      </w:r>
      <w:r w:rsidR="008C67FF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номинальный фонд рабочего времени; Тэф – эффективный фонд рабочего времени</w:t>
      </w:r>
      <w:r w:rsidR="008C67FF" w:rsidRPr="000128D7">
        <w:rPr>
          <w:rFonts w:ascii="Times New Roman" w:hAnsi="Times New Roman"/>
          <w:color w:val="000000"/>
          <w:sz w:val="28"/>
          <w:szCs w:val="28"/>
        </w:rPr>
        <w:t>.</w:t>
      </w:r>
    </w:p>
    <w:p w:rsidR="00690459" w:rsidRPr="000128D7" w:rsidRDefault="00690459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7FF" w:rsidRPr="000128D7" w:rsidRDefault="008C67FF" w:rsidP="00690459">
      <w:pPr>
        <w:pStyle w:val="a3"/>
        <w:numPr>
          <w:ilvl w:val="1"/>
          <w:numId w:val="16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Определение численности трудящихся</w:t>
      </w:r>
    </w:p>
    <w:p w:rsidR="008C67FF" w:rsidRPr="000128D7" w:rsidRDefault="008C67FF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0459" w:rsidRPr="000128D7" w:rsidRDefault="008C67FF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Расчет численности рабочих участка производим по формуле:</w:t>
      </w:r>
    </w:p>
    <w:p w:rsidR="008C67FF" w:rsidRPr="000128D7" w:rsidRDefault="008C67FF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Ν 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сп </w:t>
      </w:r>
      <w:r w:rsidRPr="000128D7">
        <w:rPr>
          <w:rFonts w:ascii="Times New Roman" w:hAnsi="Times New Roman"/>
          <w:color w:val="000000"/>
          <w:sz w:val="28"/>
          <w:szCs w:val="28"/>
        </w:rPr>
        <w:t>= Ν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яв </w:t>
      </w:r>
      <w:r w:rsidRPr="000128D7">
        <w:rPr>
          <w:rFonts w:ascii="Times New Roman" w:hAnsi="Times New Roman"/>
          <w:color w:val="000000"/>
          <w:sz w:val="28"/>
          <w:szCs w:val="28"/>
        </w:rPr>
        <w:t>* К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с.с </w:t>
      </w:r>
      <w:r w:rsidRPr="000128D7">
        <w:rPr>
          <w:rFonts w:ascii="Times New Roman" w:hAnsi="Times New Roman"/>
          <w:color w:val="000000"/>
          <w:sz w:val="28"/>
          <w:szCs w:val="28"/>
        </w:rPr>
        <w:t>,</w:t>
      </w:r>
      <w:r w:rsidR="00690459" w:rsidRPr="000128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0B3" w:rsidRPr="000128D7">
        <w:rPr>
          <w:rFonts w:ascii="Times New Roman" w:hAnsi="Times New Roman"/>
          <w:color w:val="000000"/>
          <w:sz w:val="28"/>
          <w:szCs w:val="28"/>
        </w:rPr>
        <w:t>(2)</w:t>
      </w:r>
    </w:p>
    <w:p w:rsidR="00690459" w:rsidRPr="000128D7" w:rsidRDefault="008C67FF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где Ν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>яв</w:t>
      </w:r>
      <w:r w:rsidRPr="000128D7">
        <w:rPr>
          <w:rFonts w:ascii="Times New Roman" w:hAnsi="Times New Roman"/>
          <w:color w:val="000000"/>
          <w:sz w:val="28"/>
          <w:szCs w:val="28"/>
        </w:rPr>
        <w:t xml:space="preserve"> - явочный состав рабочих, чел; Ν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>сп</w:t>
      </w:r>
      <w:r w:rsidR="00690459"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0128D7">
        <w:rPr>
          <w:rFonts w:ascii="Times New Roman" w:hAnsi="Times New Roman"/>
          <w:color w:val="000000"/>
          <w:sz w:val="28"/>
          <w:szCs w:val="28"/>
        </w:rPr>
        <w:t>- списочный состав рабочих, чел.</w:t>
      </w:r>
    </w:p>
    <w:p w:rsidR="008C67FF" w:rsidRPr="000128D7" w:rsidRDefault="008C67FF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 xml:space="preserve">Ν </w:t>
      </w:r>
      <w:r w:rsidRPr="000128D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сп </w:t>
      </w:r>
      <w:r w:rsidRPr="000128D7">
        <w:rPr>
          <w:rFonts w:ascii="Times New Roman" w:hAnsi="Times New Roman"/>
          <w:color w:val="000000"/>
          <w:sz w:val="28"/>
          <w:szCs w:val="28"/>
        </w:rPr>
        <w:t>= 38*1,2=44 человек</w:t>
      </w:r>
    </w:p>
    <w:p w:rsidR="00690459" w:rsidRPr="000128D7" w:rsidRDefault="00690459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7FF" w:rsidRPr="000128D7" w:rsidRDefault="008C67FF" w:rsidP="00690459">
      <w:pPr>
        <w:pStyle w:val="a3"/>
        <w:shd w:val="clear" w:color="000000" w:fill="auto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Таблица 3.</w:t>
      </w:r>
      <w:r w:rsidR="00690459" w:rsidRPr="000128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128D7">
        <w:rPr>
          <w:rFonts w:ascii="Times New Roman" w:hAnsi="Times New Roman"/>
          <w:b/>
          <w:color w:val="000000"/>
          <w:sz w:val="28"/>
          <w:szCs w:val="28"/>
        </w:rPr>
        <w:t>Численность рабочих и ИТР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60"/>
        <w:gridCol w:w="1575"/>
        <w:gridCol w:w="1980"/>
      </w:tblGrid>
      <w:tr w:rsidR="008C67FF" w:rsidRPr="000128D7" w:rsidTr="000128D7">
        <w:trPr>
          <w:trHeight w:val="80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профессии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Разряд 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Явочный состав, человек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Списочный состав, человек</w:t>
            </w:r>
          </w:p>
        </w:tc>
      </w:tr>
      <w:tr w:rsidR="008C67FF" w:rsidRPr="000128D7" w:rsidTr="000128D7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участка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C67FF" w:rsidRPr="000128D7" w:rsidTr="000128D7">
        <w:trPr>
          <w:trHeight w:val="18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Зам.начальника участка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C67FF" w:rsidRPr="000128D7" w:rsidTr="000128D7">
        <w:trPr>
          <w:trHeight w:val="249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Начальник вахты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C67FF" w:rsidRPr="000128D7" w:rsidTr="000128D7">
        <w:trPr>
          <w:trHeight w:val="32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Электромеханник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C67FF" w:rsidRPr="000128D7" w:rsidTr="000128D7">
        <w:trPr>
          <w:trHeight w:val="18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Машинист ЭКГ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8C67FF" w:rsidRPr="000128D7" w:rsidTr="000128D7">
        <w:trPr>
          <w:trHeight w:val="226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Помощник машиниста ЭКГ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C67FF" w:rsidRPr="000128D7" w:rsidTr="000128D7">
        <w:trPr>
          <w:trHeight w:val="125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Машинист буровой установки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C67FF" w:rsidRPr="000128D7" w:rsidTr="000128D7">
        <w:trPr>
          <w:trHeight w:val="206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Помощник машиниста бур.уст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C67FF" w:rsidRPr="000128D7" w:rsidTr="000128D7">
        <w:trPr>
          <w:trHeight w:val="30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Слесарь ДРО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C67FF" w:rsidRPr="000128D7" w:rsidTr="000128D7">
        <w:trPr>
          <w:trHeight w:val="34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Эл.слесарь ДРО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C67FF" w:rsidRPr="000128D7" w:rsidTr="000128D7">
        <w:trPr>
          <w:trHeight w:val="167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Эл.газосварщик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C67FF" w:rsidRPr="000128D7" w:rsidTr="000128D7">
        <w:trPr>
          <w:trHeight w:val="24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Слесарь АВР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8C67FF" w:rsidRPr="000128D7" w:rsidTr="000128D7">
        <w:trPr>
          <w:trHeight w:val="12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Машинист ДЭС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C67FF" w:rsidRPr="000128D7" w:rsidTr="000128D7">
        <w:trPr>
          <w:trHeight w:val="22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Пробоотборщик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C67FF" w:rsidRPr="000128D7" w:rsidTr="000128D7">
        <w:trPr>
          <w:trHeight w:val="280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Рабочий производственных бань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8C67FF" w:rsidRPr="000128D7" w:rsidTr="000128D7">
        <w:trPr>
          <w:trHeight w:val="152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Приемосдатчик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C67FF" w:rsidRPr="000128D7" w:rsidRDefault="008C67FF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8C67FF" w:rsidRPr="000128D7" w:rsidRDefault="007211EC" w:rsidP="00690459">
      <w:pPr>
        <w:pStyle w:val="a3"/>
        <w:numPr>
          <w:ilvl w:val="1"/>
          <w:numId w:val="16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28DD" w:rsidRPr="000128D7">
        <w:rPr>
          <w:rFonts w:ascii="Times New Roman" w:hAnsi="Times New Roman"/>
          <w:b/>
          <w:color w:val="000000"/>
          <w:sz w:val="28"/>
          <w:szCs w:val="28"/>
        </w:rPr>
        <w:t>Общеинженерные решения</w:t>
      </w:r>
    </w:p>
    <w:p w:rsidR="008728DD" w:rsidRPr="000128D7" w:rsidRDefault="008728DD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0459" w:rsidRPr="000128D7" w:rsidRDefault="008728DD" w:rsidP="00690459">
      <w:pPr>
        <w:pStyle w:val="a4"/>
        <w:numPr>
          <w:ilvl w:val="0"/>
          <w:numId w:val="12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Электроснабжение.</w:t>
      </w:r>
    </w:p>
    <w:p w:rsidR="00690459" w:rsidRPr="000128D7" w:rsidRDefault="008728DD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Электроснабжение сменного горнодобывающего предприятия обеспечивается от энергосистемы «Читаэнерго» по ЛЭП З5кВ через проектируемую подстанцию на месторождении мощностью 2*2500кВ. для всех сооружений на площадках предусмотрено совместное питание силовых и осветительных потребителей от общих трансформаторов.</w:t>
      </w:r>
    </w:p>
    <w:p w:rsidR="00690459" w:rsidRPr="000128D7" w:rsidRDefault="008728DD" w:rsidP="00690459">
      <w:pPr>
        <w:pStyle w:val="a4"/>
        <w:numPr>
          <w:ilvl w:val="0"/>
          <w:numId w:val="12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Связь.</w:t>
      </w:r>
    </w:p>
    <w:p w:rsidR="00690459" w:rsidRPr="000128D7" w:rsidRDefault="008728DD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На карьере предусматриваются следующие устройства связи:</w:t>
      </w:r>
    </w:p>
    <w:p w:rsidR="00690459" w:rsidRPr="000128D7" w:rsidRDefault="008728DD" w:rsidP="00690459">
      <w:pPr>
        <w:pStyle w:val="a4"/>
        <w:numPr>
          <w:ilvl w:val="0"/>
          <w:numId w:val="5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административно-хозяйственная телефонная связь;</w:t>
      </w:r>
    </w:p>
    <w:p w:rsidR="00690459" w:rsidRPr="000128D7" w:rsidRDefault="008728DD" w:rsidP="00690459">
      <w:pPr>
        <w:pStyle w:val="a4"/>
        <w:numPr>
          <w:ilvl w:val="0"/>
          <w:numId w:val="5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диспетчерская телефонная связь;</w:t>
      </w:r>
    </w:p>
    <w:p w:rsidR="00690459" w:rsidRPr="000128D7" w:rsidRDefault="008728DD" w:rsidP="00690459">
      <w:pPr>
        <w:pStyle w:val="a4"/>
        <w:numPr>
          <w:ilvl w:val="0"/>
          <w:numId w:val="5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внешняя телефонная связь.</w:t>
      </w:r>
    </w:p>
    <w:p w:rsidR="00690459" w:rsidRPr="000128D7" w:rsidRDefault="008728DD" w:rsidP="00690459">
      <w:pPr>
        <w:pStyle w:val="a4"/>
        <w:numPr>
          <w:ilvl w:val="0"/>
          <w:numId w:val="12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Теплоснабжение.</w:t>
      </w:r>
    </w:p>
    <w:p w:rsidR="00690459" w:rsidRPr="000128D7" w:rsidRDefault="008728DD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Теплоснабжение производственных объектов предприятия и вахтового поселка решается индивидуально. При расчетах количества тепла учитывались местные климатические условия.</w:t>
      </w:r>
    </w:p>
    <w:p w:rsidR="00690459" w:rsidRPr="000128D7" w:rsidRDefault="008728DD" w:rsidP="00690459">
      <w:pPr>
        <w:pStyle w:val="a4"/>
        <w:numPr>
          <w:ilvl w:val="0"/>
          <w:numId w:val="12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Водоснабжение.</w:t>
      </w:r>
    </w:p>
    <w:p w:rsidR="00690459" w:rsidRPr="000128D7" w:rsidRDefault="008728DD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 качестве источника хозяйственно-питьевого и производственного водоснабжения предусматривается использование подземных вод из скважинного водозабора.</w:t>
      </w:r>
    </w:p>
    <w:p w:rsidR="00690459" w:rsidRPr="000128D7" w:rsidRDefault="008728DD" w:rsidP="00690459">
      <w:pPr>
        <w:pStyle w:val="a4"/>
        <w:numPr>
          <w:ilvl w:val="0"/>
          <w:numId w:val="12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Канализация.</w:t>
      </w:r>
    </w:p>
    <w:p w:rsidR="00690459" w:rsidRPr="000128D7" w:rsidRDefault="008728DD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Сточные воды промплощадки подвергаются полной очистке на специальных сооружениях. Очистные стоки после очистных сооружений сбрасываются в пониженные части рельефа.</w:t>
      </w:r>
    </w:p>
    <w:p w:rsidR="00690459" w:rsidRPr="000128D7" w:rsidRDefault="008728DD" w:rsidP="00690459">
      <w:pPr>
        <w:pStyle w:val="a4"/>
        <w:numPr>
          <w:ilvl w:val="0"/>
          <w:numId w:val="12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Ремонтно-складское хозяйство.</w:t>
      </w:r>
    </w:p>
    <w:p w:rsidR="008728DD" w:rsidRPr="000128D7" w:rsidRDefault="008728DD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 основу организации ремонтов оборудования транспортных средств принимается система планово-предупредительных ремонтов, по которой все плановые ремонты проводятся по заранее составленному графику. Основным методом ремонта принимается агрегатно-узловой, при котором детали, узлы и агрегаты, требующие ремонта, заменяются новыми или заранее отремонтированными. Весь ремонт осуществляется на базе РМЗ.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B244A" w:rsidRPr="000128D7" w:rsidRDefault="003B244A" w:rsidP="00690459">
      <w:pPr>
        <w:pStyle w:val="a4"/>
        <w:numPr>
          <w:ilvl w:val="1"/>
          <w:numId w:val="16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>Обеспечение экономической и технической безопасности</w:t>
      </w:r>
    </w:p>
    <w:p w:rsidR="005E63F6" w:rsidRPr="000128D7" w:rsidRDefault="005E63F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90459" w:rsidRPr="000128D7" w:rsidRDefault="005E63F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При проведении горных работ должны соблюдаться требования «Единых правил безопасности при разработке полезных ископаемых открытым способом», «Единых правил безопасности при взрывных работах», «Норм технологического проектирования горнорудных предприятий цветной металлургии с открытым способом разработки», «Правил технической эксплуатации рудника, приисков и шахт, разрабатывающих месторождения цветных, редких и драгоценных металлов», «Правил устройства и эксплуатации электроустановок», санитарных правил и других нормативных документов.</w:t>
      </w:r>
    </w:p>
    <w:p w:rsidR="00690459" w:rsidRPr="000128D7" w:rsidRDefault="005E63F6" w:rsidP="007B6E15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Руды и вмещающие породы содержат более 10% свободной</w:t>
      </w:r>
      <w:r w:rsidR="007B6E15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кремнекислоты. В этой связи на карьере должен быть установлен противосиликозный режим, основным требованием является организация обязательного пылеподавления при выполнении всех производственных процессов. Для безопасного передвижения трудящихся в карьере предусматривается сооружение пешеходных лестниц с перилами. Места работы всех механизмов оборудуются стационарным электрическим освещением. Для обогрева рабочих образуют специальные помещения. В целях предотвращения оползневых явлений на уступах карьера и на отвале должен осуществляться постоянный маркшейдерский контроль.</w:t>
      </w:r>
    </w:p>
    <w:p w:rsidR="00690459" w:rsidRPr="000128D7" w:rsidRDefault="005E63F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 данном бизнес-плане предусматриваются мероприятия по охране земли и недр, атмосферного воздуха, поверхностных и подземных вод:</w:t>
      </w:r>
    </w:p>
    <w:p w:rsidR="00690459" w:rsidRPr="000128D7" w:rsidRDefault="005E63F6" w:rsidP="00690459">
      <w:pPr>
        <w:pStyle w:val="a4"/>
        <w:numPr>
          <w:ilvl w:val="0"/>
          <w:numId w:val="6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мероприятия по охране недр (открытый способ разработки обеспечивает наиболее полное использование недр; проведение эксплуатационной разведки обеспечивает нормативные показатели потерь и разубоживания);</w:t>
      </w:r>
    </w:p>
    <w:p w:rsidR="00690459" w:rsidRPr="000128D7" w:rsidRDefault="005E63F6" w:rsidP="00690459">
      <w:pPr>
        <w:pStyle w:val="a4"/>
        <w:numPr>
          <w:ilvl w:val="0"/>
          <w:numId w:val="6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для снижения выбросов в атмосферу предусматривается полив рабочих площадок карьера и автодорог водой с пылесвязывающими добавками, орошение руды и породы при ведении погрузочных работ, гидродобавка при ведении взрывных работ, установка туманообразователей на пунктах перегрузки руды.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br w:type="page"/>
      </w:r>
      <w:r w:rsidRPr="000128D7">
        <w:rPr>
          <w:rFonts w:ascii="Times New Roman" w:hAnsi="Times New Roman"/>
          <w:b/>
          <w:color w:val="000000"/>
          <w:sz w:val="28"/>
          <w:szCs w:val="28"/>
        </w:rPr>
        <w:t xml:space="preserve">6 </w:t>
      </w:r>
      <w:r w:rsidR="00224806" w:rsidRPr="000128D7">
        <w:rPr>
          <w:rFonts w:ascii="Times New Roman" w:hAnsi="Times New Roman"/>
          <w:b/>
          <w:color w:val="000000"/>
          <w:sz w:val="28"/>
          <w:szCs w:val="28"/>
        </w:rPr>
        <w:t>План маркетинга</w:t>
      </w:r>
    </w:p>
    <w:p w:rsidR="005E63F6" w:rsidRPr="000128D7" w:rsidRDefault="005E63F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Маркетинг является одной из новейших областей человеческой деятельности, его рассматривают как систему взаимосвязей организации и рынка, как процесс сбалансирования спроса и предложения, как способ распределения и продажи товаров, как предпринимательскую деятельность.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Марганцевая руда используется в качестве окислителя при переработке урановых руд. Ферросплавы, соединения марганца требуются для производства химических источников тока, ферритов, кормовых добавок, стекла, катализаторов; </w:t>
      </w:r>
      <w:r w:rsidRPr="000128D7">
        <w:rPr>
          <w:iCs/>
          <w:color w:val="000000"/>
          <w:sz w:val="28"/>
          <w:szCs w:val="28"/>
        </w:rPr>
        <w:t xml:space="preserve">25-35 </w:t>
      </w:r>
      <w:r w:rsidRPr="000128D7">
        <w:rPr>
          <w:color w:val="000000"/>
          <w:sz w:val="28"/>
          <w:szCs w:val="28"/>
        </w:rPr>
        <w:t>тысяч тонн – на производство сварочных материалов. Около 90 % потребляемого в России продукта используется в сталеплавиком производстве – силикомирганца, ферросиликомарганца, металлического марганца.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 России разработка месторождений марганца по различным причинам не производилась, а обеспечение промышленности металлом осуществлялось за счет поставок марганцевой продукции с Украины, Грузии и Казахстана, где была сформирована крупная сырьевая и производственная база СССР по марганцу.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Потребность внутреннего рынка в ферросплавах составляет около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1 миллиона тонн.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Основными потребителями ферросиликомарганца являются большинство подразделений ОАО «ППГХО». Вопроса конкуренции в данном случае не возникает.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br w:type="page"/>
      </w:r>
      <w:r w:rsidRPr="000128D7"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 w:rsidR="00224806" w:rsidRPr="000128D7">
        <w:rPr>
          <w:rFonts w:ascii="Times New Roman" w:hAnsi="Times New Roman"/>
          <w:b/>
          <w:color w:val="000000"/>
          <w:sz w:val="28"/>
          <w:szCs w:val="28"/>
        </w:rPr>
        <w:t>Организационный план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128D7">
        <w:rPr>
          <w:bCs/>
          <w:color w:val="000000"/>
          <w:sz w:val="28"/>
          <w:szCs w:val="28"/>
        </w:rPr>
        <w:t>ОАО «ППГХО» является головным предприятием по отношению к Громовскому месторождению.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128D7">
        <w:rPr>
          <w:bCs/>
          <w:color w:val="000000"/>
          <w:sz w:val="28"/>
          <w:szCs w:val="28"/>
        </w:rPr>
        <w:t>Органами управления общества являются:</w:t>
      </w:r>
    </w:p>
    <w:p w:rsidR="00224806" w:rsidRPr="000128D7" w:rsidRDefault="00224806" w:rsidP="00690459">
      <w:pPr>
        <w:pStyle w:val="a4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0128D7">
        <w:rPr>
          <w:bCs/>
          <w:color w:val="000000"/>
          <w:sz w:val="28"/>
          <w:szCs w:val="28"/>
        </w:rPr>
        <w:t>общее собрание акционеров;</w:t>
      </w:r>
    </w:p>
    <w:p w:rsidR="00224806" w:rsidRPr="000128D7" w:rsidRDefault="00224806" w:rsidP="00690459">
      <w:pPr>
        <w:pStyle w:val="a4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0128D7">
        <w:rPr>
          <w:bCs/>
          <w:color w:val="000000"/>
          <w:sz w:val="28"/>
          <w:szCs w:val="28"/>
        </w:rPr>
        <w:t>совет директоров;</w:t>
      </w:r>
    </w:p>
    <w:p w:rsidR="00224806" w:rsidRPr="000128D7" w:rsidRDefault="00224806" w:rsidP="00690459">
      <w:pPr>
        <w:pStyle w:val="a4"/>
        <w:numPr>
          <w:ilvl w:val="0"/>
          <w:numId w:val="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0128D7">
        <w:rPr>
          <w:bCs/>
          <w:color w:val="000000"/>
          <w:sz w:val="28"/>
          <w:szCs w:val="28"/>
        </w:rPr>
        <w:t>генеральный директор.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numPr>
          <w:ilvl w:val="1"/>
          <w:numId w:val="17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bookmarkStart w:id="0" w:name="_Toc186678501"/>
      <w:r w:rsidRPr="000128D7">
        <w:rPr>
          <w:b/>
          <w:color w:val="000000"/>
          <w:sz w:val="28"/>
          <w:szCs w:val="28"/>
        </w:rPr>
        <w:t>Управленческий персонал</w:t>
      </w:r>
      <w:bookmarkEnd w:id="0"/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Всей производственно-хозяйственной деятельностью предприятия руководит председатель правления, который несет полную ответственность перед производственным объединением за состояние предприятия и технико-экономическими показателями его работы. Основная задача председателя – руководство предприятием и обеспечение выполнения плана добычи и реализации ферросиликомарганца, достижение наилучших экономических результатов при наименьших затратах материалов, трудовых и финансовых ресурсов.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Первым заместителем председателя является главный инженер, который осуществляет техническое руководство производством. Главному инженеру непосредственно подчиняется: главный энергетик, главный геолог, главный маркшейдер, главный механик, заместитель главного инженера по технике безопасности.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Основными задачами производственно–технического отдела является руководство производственным процессом по обеспечению выполнения плана при наименьших затратах труда и материальных ресурсов, наилучшим использованием основных оборотных средств предприятия и соблюдение правил безопасности ведения горных работ, а так же осуществление мероприятий по улучшению и совершенствованию организации производства и труда на подчиненных ему участках и цехах.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Непосредственным помощником заместителя директора по оперативному руководству техническим процессом являются начальник смены и горные диспетчера. Они осуществляют оперативное и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производственное планирование, оперативный контроль за ходом выполнения часового, сменного, суточного, недельного и месячного заданий, координируют работу всех производственных подразделений предприятия, осуществляют информирование руководства предприятия о ходе производственного процесса.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Производственная часть возглавляется начальником, который подчиняется заместителю председателя по производству.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Начальник участка является полноправным руководителем работ на своем участке и отвечает за выполнение плана по всем планируемым участку показателям.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Начальнику участка подчиняется весь административно-технический персонал участка, то есть помощник начальника, механик участка, мастер и так далее.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Непосредственным организатором и руководителем производственных бригад, работающих в конкретной смене является горный мастер, он подчиняется начальнику участка и несет ответственность за организацию и результаты работы в данной смене. Все распоряжения и указания бригадирам передаются только через горного мастера.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Схема управленческого персонала представлена на рисунке 1.</w:t>
      </w:r>
    </w:p>
    <w:p w:rsidR="00542C35" w:rsidRPr="000128D7" w:rsidRDefault="00542C35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42C35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br w:type="page"/>
      </w:r>
      <w:r w:rsidR="00542C35" w:rsidRPr="000128D7">
        <w:rPr>
          <w:rFonts w:ascii="Times New Roman" w:hAnsi="Times New Roman"/>
          <w:b/>
          <w:color w:val="000000"/>
          <w:sz w:val="28"/>
          <w:szCs w:val="28"/>
        </w:rPr>
        <w:t>Рисунок 1 – Управленческий персонал</w:t>
      </w:r>
    </w:p>
    <w:p w:rsidR="00224806" w:rsidRPr="000128D7" w:rsidRDefault="00A30507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6pt;margin-top:9pt;width:126pt;height:63pt;z-index:251649536">
            <v:textbox style="mso-next-textbox:#_x0000_s1030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28D7">
                    <w:t>Заместитель председателя по производству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62pt;margin-top:9pt;width:126pt;height:108pt;z-index:251648512">
            <v:textbox style="mso-next-textbox:#_x0000_s1031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28D7">
                    <w:t>Заместитель председателя по оперативному руководству технологических процессов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9pt;margin-top:9pt;width:126pt;height:27pt;z-index:251647488">
            <v:textbox style="mso-next-textbox:#_x0000_s1032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28D7">
                    <w:t>Главный инженер</w:t>
                  </w:r>
                </w:p>
              </w:txbxContent>
            </v:textbox>
          </v:shape>
        </w:pict>
      </w:r>
    </w:p>
    <w:p w:rsidR="00224806" w:rsidRPr="000128D7" w:rsidRDefault="00A30507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5680" from="1in,20.85pt" to="1in,119.85pt">
            <v:stroke endarrow="block"/>
          </v:line>
        </w:pic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A30507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66944" from="369pt,-.45pt" to="369pt,80.55pt">
            <v:stroke endarrow="block"/>
          </v:line>
        </w:pict>
      </w:r>
    </w:p>
    <w:p w:rsidR="00224806" w:rsidRPr="000128D7" w:rsidRDefault="00A30507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z-index:251659776" from="3in,20.4pt" to="252pt,56.4pt">
            <v:stroke endarrow="block"/>
          </v:line>
        </w:pict>
      </w:r>
      <w:r>
        <w:rPr>
          <w:noProof/>
        </w:rPr>
        <w:pict>
          <v:line id="_x0000_s1036" style="position:absolute;left:0;text-align:left;flip:x;z-index:251658752" from="180pt,20.4pt" to="3in,56.4pt">
            <v:stroke endarrow="block"/>
          </v:line>
        </w:pic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A30507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315pt;margin-top:17.1pt;width:117pt;height:54pt;z-index:251660800">
            <v:textbox style="mso-next-textbox:#_x0000_s1037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28D7">
                    <w:t>Начальник производствен</w:t>
                  </w: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ной части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34pt;margin-top:17.1pt;width:1in;height:36pt;z-index:251657728">
            <v:textbox style="mso-next-textbox:#_x0000_s1038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28D7">
                    <w:t>Горный</w:t>
                  </w: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диспетчера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in;margin-top:17.1pt;width:1in;height:36pt;z-index:251656704">
            <v:textbox style="mso-next-textbox:#_x0000_s1039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28D7">
                    <w:t>Начальник смены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8pt;margin-top:17.1pt;width:117pt;height:27pt;z-index:251650560">
            <v:textbox style="mso-next-textbox:#_x0000_s1040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28D7">
                    <w:t>Гл. энергетик</w:t>
                  </w:r>
                </w:p>
              </w:txbxContent>
            </v:textbox>
          </v:shape>
        </w:pic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24806" w:rsidRPr="000128D7" w:rsidRDefault="00A3050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18pt;margin-top:9.2pt;width:117pt;height:27pt;z-index:251651584">
            <v:textbox style="mso-next-textbox:#_x0000_s1041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Гл. геолог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z-index:251667968" from="369pt,22.8pt" to="369pt,58.8pt">
            <v:stroke endarrow="block"/>
          </v:line>
        </w:pict>
      </w:r>
    </w:p>
    <w:p w:rsidR="00224806" w:rsidRPr="000128D7" w:rsidRDefault="00A3050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3" type="#_x0000_t202" style="position:absolute;left:0;text-align:left;margin-left:315pt;margin-top:31.35pt;width:117pt;height:48.75pt;z-index:251661824">
            <v:textbox style="mso-next-textbox:#_x0000_s1043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Начальник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8pt;margin-top:19.15pt;width:117pt;height:27pt;z-index:251652608">
            <v:textbox style="mso-next-textbox:#_x0000_s1044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Гл. маркшейдер</w:t>
                  </w:r>
                </w:p>
              </w:txbxContent>
            </v:textbox>
          </v:shape>
        </w:pict>
      </w:r>
    </w:p>
    <w:p w:rsidR="00224806" w:rsidRPr="000128D7" w:rsidRDefault="00224806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4806" w:rsidRPr="000128D7" w:rsidRDefault="00A3050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18pt;margin-top:1.3pt;width:117pt;height:27pt;z-index:251653632">
            <v:textbox style="mso-next-textbox:#_x0000_s1045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Гл. механик</w:t>
                  </w:r>
                </w:p>
              </w:txbxContent>
            </v:textbox>
          </v:shape>
        </w:pict>
      </w:r>
    </w:p>
    <w:p w:rsidR="00224806" w:rsidRPr="000128D7" w:rsidRDefault="00A3050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46" style="position:absolute;left:0;text-align:left;z-index:251671040" from="333.75pt,7.7pt" to="409.2pt,47.5pt">
            <v:stroke endarrow="block"/>
          </v:line>
        </w:pict>
      </w:r>
      <w:r>
        <w:rPr>
          <w:noProof/>
        </w:rPr>
        <w:pict>
          <v:line id="_x0000_s1047" style="position:absolute;left:0;text-align:left;z-index:251670016" from="333.75pt,7.7pt" to="333.75pt,47.5pt">
            <v:stroke endarrow="block"/>
          </v:line>
        </w:pict>
      </w:r>
      <w:r>
        <w:rPr>
          <w:noProof/>
        </w:rPr>
        <w:pict>
          <v:line id="_x0000_s1048" style="position:absolute;left:0;text-align:left;flip:x;z-index:251668992" from="243.75pt,7.7pt" to="333.75pt,34.7pt">
            <v:stroke endarrow="block"/>
          </v:line>
        </w:pict>
      </w:r>
      <w:r>
        <w:rPr>
          <w:noProof/>
        </w:rPr>
        <w:pict>
          <v:shape id="_x0000_s1049" type="#_x0000_t202" style="position:absolute;left:0;text-align:left;margin-left:18pt;margin-top:22.95pt;width:117pt;height:1in;z-index:251654656">
            <v:textbox style="mso-next-textbox:#_x0000_s1049">
              <w:txbxContent>
                <w:p w:rsidR="001506DE" w:rsidRPr="007B5740" w:rsidRDefault="001506DE" w:rsidP="00224806">
                  <w:pPr>
                    <w:jc w:val="center"/>
                    <w:rPr>
                      <w:sz w:val="28"/>
                      <w:szCs w:val="28"/>
                    </w:rPr>
                  </w:pP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Заместитель гл. инженера по технике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безопасности</w:t>
                  </w:r>
                </w:p>
              </w:txbxContent>
            </v:textbox>
          </v:shape>
        </w:pict>
      </w:r>
    </w:p>
    <w:p w:rsidR="00224806" w:rsidRPr="000128D7" w:rsidRDefault="00A3050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373.95pt;margin-top:23.35pt;width:1in;height:36pt;z-index:251662848">
            <v:textbox style="mso-next-textbox:#_x0000_s1050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Горный мастер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in;margin-top:23.35pt;width:1in;height:36pt;z-index:251663872">
            <v:textbox style="mso-next-textbox:#_x0000_s1051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Механик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95.75pt;margin-top:10.55pt;width:77.7pt;height:54pt;z-index:251664896">
            <v:textbox style="mso-next-textbox:#_x0000_s1052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Помощник начальник</w:t>
                  </w: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>а участка</w:t>
                  </w:r>
                </w:p>
              </w:txbxContent>
            </v:textbox>
          </v:shape>
        </w:pict>
      </w:r>
    </w:p>
    <w:p w:rsidR="00224806" w:rsidRPr="000128D7" w:rsidRDefault="00224806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4806" w:rsidRPr="000128D7" w:rsidRDefault="00A3050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line id="_x0000_s1053" style="position:absolute;left:0;text-align:left;z-index:251672064" from="412.95pt,11.05pt" to="412.95pt,38.05pt">
            <v:stroke endarrow="block"/>
          </v:line>
        </w:pict>
      </w:r>
    </w:p>
    <w:p w:rsidR="00690459" w:rsidRPr="000128D7" w:rsidRDefault="00A30507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shape id="_x0000_s1054" type="#_x0000_t202" style="position:absolute;left:0;text-align:left;margin-left:373.95pt;margin-top:13.9pt;width:1in;height:27pt;z-index:251665920">
            <v:textbox style="mso-next-textbox:#_x0000_s1054">
              <w:txbxContent>
                <w:p w:rsidR="001506DE" w:rsidRPr="00542C35" w:rsidRDefault="001506DE" w:rsidP="0022480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2C35">
                    <w:rPr>
                      <w:rFonts w:ascii="Times New Roman" w:hAnsi="Times New Roman"/>
                      <w:sz w:val="24"/>
                      <w:szCs w:val="24"/>
                    </w:rPr>
                    <w:t xml:space="preserve">Бригадиры </w:t>
                  </w:r>
                </w:p>
              </w:txbxContent>
            </v:textbox>
          </v:shape>
        </w:pict>
      </w:r>
    </w:p>
    <w:p w:rsidR="00690459" w:rsidRPr="000128D7" w:rsidRDefault="00690459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7727E" w:rsidRPr="000128D7" w:rsidRDefault="000E3A69" w:rsidP="00690459">
      <w:pPr>
        <w:pStyle w:val="a3"/>
        <w:numPr>
          <w:ilvl w:val="1"/>
          <w:numId w:val="17"/>
        </w:numPr>
        <w:shd w:val="clear" w:color="000000" w:fill="auto"/>
        <w:suppressAutoHyphens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rFonts w:ascii="Times New Roman" w:hAnsi="Times New Roman"/>
          <w:b/>
          <w:color w:val="000000"/>
          <w:sz w:val="28"/>
          <w:szCs w:val="28"/>
        </w:rPr>
        <w:t>Состав совета директоров</w:t>
      </w:r>
    </w:p>
    <w:p w:rsidR="0077727E" w:rsidRPr="000128D7" w:rsidRDefault="0077727E" w:rsidP="00690459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4806" w:rsidRPr="000128D7" w:rsidRDefault="00224806" w:rsidP="00690459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rFonts w:ascii="Times New Roman" w:hAnsi="Times New Roman"/>
          <w:color w:val="000000"/>
          <w:sz w:val="28"/>
          <w:szCs w:val="28"/>
        </w:rPr>
        <w:t>Совет директоров Громовского месторождения состоит из девяти человек: председателя совета и восьми членов совета, которые наделены равными полномочиями. Председатель не может принять решение без одобрения челнов совета.</w:t>
      </w:r>
    </w:p>
    <w:p w:rsidR="0077727E" w:rsidRPr="000128D7" w:rsidRDefault="0077727E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727E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br w:type="page"/>
      </w:r>
      <w:r w:rsidRPr="000128D7">
        <w:rPr>
          <w:rFonts w:ascii="Times New Roman" w:hAnsi="Times New Roman"/>
          <w:b/>
          <w:color w:val="000000"/>
          <w:sz w:val="28"/>
          <w:szCs w:val="28"/>
        </w:rPr>
        <w:t xml:space="preserve">8 </w:t>
      </w:r>
      <w:r w:rsidR="0077727E" w:rsidRPr="000128D7">
        <w:rPr>
          <w:rFonts w:ascii="Times New Roman" w:hAnsi="Times New Roman"/>
          <w:b/>
          <w:color w:val="000000"/>
          <w:sz w:val="28"/>
          <w:szCs w:val="28"/>
        </w:rPr>
        <w:t>Риски проекта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Риск – это событие, которое может произойти или не произойти, вследствие чего возможен отрицательный, нулевой или положительный результат.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2"/>
        <w:keepNext w:val="0"/>
        <w:numPr>
          <w:ilvl w:val="1"/>
          <w:numId w:val="18"/>
        </w:numPr>
        <w:shd w:val="clear" w:color="000000" w:fill="auto"/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/>
        </w:rPr>
      </w:pPr>
      <w:bookmarkStart w:id="1" w:name="_Toc186678505"/>
      <w:r w:rsidRPr="000128D7">
        <w:rPr>
          <w:rFonts w:ascii="Times New Roman" w:hAnsi="Times New Roman" w:cs="Times New Roman"/>
          <w:i w:val="0"/>
          <w:color w:val="000000"/>
        </w:rPr>
        <w:t>Факторы, угрожающие успешному выполнению проекта</w:t>
      </w:r>
      <w:bookmarkEnd w:id="1"/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1. Риск снижения цены на аналогичную продукцию </w:t>
      </w:r>
      <w:r w:rsidRPr="000128D7">
        <w:rPr>
          <w:iCs/>
          <w:color w:val="000000"/>
          <w:sz w:val="28"/>
          <w:szCs w:val="28"/>
        </w:rPr>
        <w:t>(25).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2. Потенциально неблагоприятные промышленные тенденции </w:t>
      </w:r>
      <w:r w:rsidRPr="000128D7">
        <w:rPr>
          <w:iCs/>
          <w:color w:val="000000"/>
          <w:sz w:val="28"/>
          <w:szCs w:val="28"/>
        </w:rPr>
        <w:t>(50).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З. Сложности и задержки в получении необходимого сырья и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материалов (0).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4. Повышение цен на материалы </w:t>
      </w:r>
      <w:r w:rsidRPr="000128D7">
        <w:rPr>
          <w:iCs/>
          <w:color w:val="000000"/>
          <w:sz w:val="28"/>
          <w:szCs w:val="28"/>
        </w:rPr>
        <w:t>(75).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128D7">
        <w:rPr>
          <w:iCs/>
          <w:color w:val="000000"/>
          <w:sz w:val="28"/>
          <w:szCs w:val="28"/>
        </w:rPr>
        <w:t xml:space="preserve">5. </w:t>
      </w:r>
      <w:r w:rsidRPr="000128D7">
        <w:rPr>
          <w:color w:val="000000"/>
          <w:sz w:val="28"/>
          <w:szCs w:val="28"/>
        </w:rPr>
        <w:t xml:space="preserve">Риск неполучения планируемой прибыли </w:t>
      </w:r>
      <w:r w:rsidRPr="000128D7">
        <w:rPr>
          <w:iCs/>
          <w:color w:val="000000"/>
          <w:sz w:val="28"/>
          <w:szCs w:val="28"/>
        </w:rPr>
        <w:t>(50).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Оценка вероятности воздействия опасных факторов: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0 – риск рассматривается как несущественный;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iCs/>
          <w:color w:val="000000"/>
          <w:sz w:val="28"/>
          <w:szCs w:val="28"/>
        </w:rPr>
        <w:t>25 –</w:t>
      </w:r>
      <w:r w:rsidRPr="000128D7">
        <w:rPr>
          <w:color w:val="000000"/>
          <w:sz w:val="28"/>
          <w:szCs w:val="28"/>
        </w:rPr>
        <w:t xml:space="preserve"> риск, скорее всего не реализуется;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50 – о наступлении события ничего определенного сказать нельзя;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iCs/>
          <w:color w:val="000000"/>
          <w:sz w:val="28"/>
          <w:szCs w:val="28"/>
        </w:rPr>
        <w:t>75 –</w:t>
      </w:r>
      <w:r w:rsidRPr="000128D7">
        <w:rPr>
          <w:color w:val="000000"/>
          <w:sz w:val="28"/>
          <w:szCs w:val="28"/>
        </w:rPr>
        <w:t xml:space="preserve"> риск, скорее всего, проявится;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100 – риск наверняка реализуется.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2"/>
        <w:keepNext w:val="0"/>
        <w:numPr>
          <w:ilvl w:val="1"/>
          <w:numId w:val="18"/>
        </w:numPr>
        <w:shd w:val="clear" w:color="000000" w:fill="auto"/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/>
        </w:rPr>
      </w:pPr>
      <w:bookmarkStart w:id="2" w:name="_Toc186678506"/>
      <w:r w:rsidRPr="000128D7">
        <w:rPr>
          <w:rFonts w:ascii="Times New Roman" w:hAnsi="Times New Roman" w:cs="Times New Roman"/>
          <w:i w:val="0"/>
          <w:color w:val="000000"/>
        </w:rPr>
        <w:t>Мероприятия по снижению отрицательного воздействия</w:t>
      </w:r>
      <w:r w:rsidR="00690459" w:rsidRPr="000128D7">
        <w:rPr>
          <w:rFonts w:ascii="Times New Roman" w:hAnsi="Times New Roman" w:cs="Times New Roman"/>
          <w:i w:val="0"/>
          <w:color w:val="000000"/>
        </w:rPr>
        <w:t xml:space="preserve"> </w:t>
      </w:r>
      <w:r w:rsidRPr="000128D7">
        <w:rPr>
          <w:rFonts w:ascii="Times New Roman" w:hAnsi="Times New Roman" w:cs="Times New Roman"/>
          <w:i w:val="0"/>
          <w:color w:val="000000"/>
        </w:rPr>
        <w:t>факторов риска</w:t>
      </w:r>
      <w:bookmarkEnd w:id="2"/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867B1" w:rsidRPr="000128D7" w:rsidRDefault="00C867B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Мероприятия по снижению отрицательного воздействия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факторов риска:</w:t>
      </w:r>
    </w:p>
    <w:p w:rsidR="00690459" w:rsidRPr="000128D7" w:rsidRDefault="00224806" w:rsidP="00690459">
      <w:pPr>
        <w:pStyle w:val="a4"/>
        <w:numPr>
          <w:ilvl w:val="0"/>
          <w:numId w:val="8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распределение риска между участниками проекта;</w:t>
      </w:r>
    </w:p>
    <w:p w:rsidR="00690459" w:rsidRPr="000128D7" w:rsidRDefault="00224806" w:rsidP="00690459">
      <w:pPr>
        <w:pStyle w:val="a4"/>
        <w:numPr>
          <w:ilvl w:val="0"/>
          <w:numId w:val="8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резервирование средств на покрытие непредвиденных расходов;</w:t>
      </w:r>
    </w:p>
    <w:p w:rsidR="00690459" w:rsidRPr="000128D7" w:rsidRDefault="00224806" w:rsidP="00690459">
      <w:pPr>
        <w:pStyle w:val="a4"/>
        <w:numPr>
          <w:ilvl w:val="0"/>
          <w:numId w:val="8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снижение риска в плане финансирования;</w:t>
      </w:r>
    </w:p>
    <w:p w:rsidR="00690459" w:rsidRPr="000128D7" w:rsidRDefault="00224806" w:rsidP="00690459">
      <w:pPr>
        <w:pStyle w:val="a4"/>
        <w:numPr>
          <w:ilvl w:val="0"/>
          <w:numId w:val="8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страхование составляющих проекта или всего проекта;</w:t>
      </w:r>
    </w:p>
    <w:p w:rsidR="00690459" w:rsidRPr="000128D7" w:rsidRDefault="00224806" w:rsidP="00690459">
      <w:pPr>
        <w:pStyle w:val="a4"/>
        <w:numPr>
          <w:ilvl w:val="0"/>
          <w:numId w:val="8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структуризация с формированием графических иллюстраций (дерево целей и решений, дерево работ, структурная схема организации и др.)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Работа по анализу риска осуществляется в следующей последовательности: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1. Подбор опытной команды экспертов.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2. Подготовка специального вопросника для экспертов.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З. Выбор техники анализа риска.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4. Установление факторов риска и значимости.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iCs/>
          <w:color w:val="000000"/>
          <w:sz w:val="28"/>
          <w:szCs w:val="28"/>
        </w:rPr>
        <w:t xml:space="preserve">5. </w:t>
      </w:r>
      <w:r w:rsidRPr="000128D7">
        <w:rPr>
          <w:color w:val="000000"/>
          <w:sz w:val="28"/>
          <w:szCs w:val="28"/>
        </w:rPr>
        <w:t>Установление взаимосвязи отдельных рисков.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186678507"/>
      <w:r w:rsidRPr="000128D7">
        <w:rPr>
          <w:rFonts w:ascii="Times New Roman" w:hAnsi="Times New Roman"/>
          <w:b/>
          <w:bCs/>
          <w:color w:val="000000"/>
          <w:sz w:val="28"/>
          <w:szCs w:val="28"/>
        </w:rPr>
        <w:br w:type="page"/>
        <w:t xml:space="preserve">9 </w:t>
      </w:r>
      <w:r w:rsidR="00224806" w:rsidRPr="000128D7">
        <w:rPr>
          <w:rFonts w:ascii="Times New Roman" w:hAnsi="Times New Roman"/>
          <w:b/>
          <w:color w:val="000000"/>
          <w:sz w:val="28"/>
          <w:szCs w:val="28"/>
        </w:rPr>
        <w:t>Финансовый план</w:t>
      </w:r>
      <w:bookmarkEnd w:id="3"/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Данный раздел бизнес-плана рассматривает потенциал проекта и график его финансирования, а также может служить оперативным планом для финансового управления проектом. Здесь необходимы следующие документы:</w:t>
      </w:r>
    </w:p>
    <w:p w:rsidR="00690459" w:rsidRPr="000128D7" w:rsidRDefault="00224806" w:rsidP="00690459">
      <w:pPr>
        <w:pStyle w:val="a4"/>
        <w:numPr>
          <w:ilvl w:val="0"/>
          <w:numId w:val="9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отчет о прибыли;</w:t>
      </w:r>
    </w:p>
    <w:p w:rsidR="00690459" w:rsidRPr="000128D7" w:rsidRDefault="00224806" w:rsidP="00690459">
      <w:pPr>
        <w:pStyle w:val="a4"/>
        <w:numPr>
          <w:ilvl w:val="0"/>
          <w:numId w:val="9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балансовый отчет по проекту (баланс активов и пассивов предприятия);</w:t>
      </w:r>
    </w:p>
    <w:p w:rsidR="00690459" w:rsidRPr="000128D7" w:rsidRDefault="00224806" w:rsidP="00690459">
      <w:pPr>
        <w:pStyle w:val="a4"/>
        <w:numPr>
          <w:ilvl w:val="0"/>
          <w:numId w:val="9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отчет о движении денежных средств;</w:t>
      </w:r>
    </w:p>
    <w:p w:rsidR="00690459" w:rsidRPr="000128D7" w:rsidRDefault="00224806" w:rsidP="00690459">
      <w:pPr>
        <w:pStyle w:val="a4"/>
        <w:numPr>
          <w:ilvl w:val="0"/>
          <w:numId w:val="9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расчет коэффициентов финансовой оценки проекта;</w:t>
      </w:r>
    </w:p>
    <w:p w:rsidR="00690459" w:rsidRPr="000128D7" w:rsidRDefault="00224806" w:rsidP="00690459">
      <w:pPr>
        <w:pStyle w:val="a4"/>
        <w:numPr>
          <w:ilvl w:val="0"/>
          <w:numId w:val="9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расчет показателей оценки эффективности проекта;</w:t>
      </w:r>
    </w:p>
    <w:p w:rsidR="00690459" w:rsidRPr="000128D7" w:rsidRDefault="00224806" w:rsidP="00690459">
      <w:pPr>
        <w:pStyle w:val="a4"/>
        <w:numPr>
          <w:ilvl w:val="0"/>
          <w:numId w:val="9"/>
        </w:numPr>
        <w:shd w:val="clear" w:color="000000" w:fill="auto"/>
        <w:tabs>
          <w:tab w:val="clear" w:pos="436"/>
          <w:tab w:val="num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расчет порога рентабельности и критического объема производства.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2"/>
        <w:keepNext w:val="0"/>
        <w:numPr>
          <w:ilvl w:val="1"/>
          <w:numId w:val="18"/>
        </w:numPr>
        <w:shd w:val="clear" w:color="000000" w:fill="auto"/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i w:val="0"/>
          <w:color w:val="000000"/>
        </w:rPr>
      </w:pPr>
      <w:bookmarkStart w:id="4" w:name="_Toc186678508"/>
      <w:r w:rsidRPr="000128D7">
        <w:rPr>
          <w:rFonts w:ascii="Times New Roman" w:hAnsi="Times New Roman" w:cs="Times New Roman"/>
          <w:i w:val="0"/>
          <w:color w:val="000000"/>
        </w:rPr>
        <w:t>Капитальные вложения</w:t>
      </w:r>
      <w:bookmarkEnd w:id="4"/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Сметная стоимость Громовского месторождения определена на основании сметных расчетов аналогов в ценах 200</w:t>
      </w:r>
      <w:r w:rsidR="007751F5" w:rsidRPr="000128D7">
        <w:rPr>
          <w:color w:val="000000"/>
          <w:sz w:val="28"/>
          <w:szCs w:val="28"/>
        </w:rPr>
        <w:t>6</w:t>
      </w:r>
      <w:r w:rsidRPr="000128D7">
        <w:rPr>
          <w:color w:val="000000"/>
          <w:sz w:val="28"/>
          <w:szCs w:val="28"/>
        </w:rPr>
        <w:t xml:space="preserve"> года, в проекте предусмотрен вахтовый метод организации работ, не требующих больших капитальных вложений.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Стоимость </w:t>
      </w:r>
      <w:r w:rsidR="00C867B1" w:rsidRPr="000128D7">
        <w:rPr>
          <w:color w:val="000000"/>
          <w:sz w:val="28"/>
          <w:szCs w:val="28"/>
        </w:rPr>
        <w:t>горнотранспортного</w:t>
      </w:r>
      <w:r w:rsidRPr="000128D7">
        <w:rPr>
          <w:color w:val="000000"/>
          <w:sz w:val="28"/>
          <w:szCs w:val="28"/>
        </w:rPr>
        <w:t xml:space="preserve"> оборудования</w:t>
      </w:r>
      <w:r w:rsidR="00C867B1" w:rsidRPr="000128D7">
        <w:rPr>
          <w:color w:val="000000"/>
          <w:sz w:val="28"/>
          <w:szCs w:val="28"/>
        </w:rPr>
        <w:t xml:space="preserve"> представлена в таблице 4</w:t>
      </w:r>
      <w:r w:rsidRPr="000128D7">
        <w:rPr>
          <w:color w:val="000000"/>
          <w:sz w:val="28"/>
          <w:szCs w:val="28"/>
        </w:rPr>
        <w:t>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 xml:space="preserve">Таблица </w:t>
      </w:r>
      <w:r w:rsidR="00C867B1" w:rsidRPr="000128D7">
        <w:rPr>
          <w:b/>
          <w:color w:val="000000"/>
          <w:sz w:val="28"/>
          <w:szCs w:val="28"/>
        </w:rPr>
        <w:t>4</w:t>
      </w:r>
      <w:r w:rsidR="001925A6" w:rsidRPr="000128D7">
        <w:rPr>
          <w:b/>
          <w:color w:val="000000"/>
          <w:sz w:val="28"/>
          <w:szCs w:val="28"/>
        </w:rPr>
        <w:t>.</w:t>
      </w:r>
      <w:r w:rsidRPr="000128D7">
        <w:rPr>
          <w:b/>
          <w:color w:val="000000"/>
          <w:sz w:val="28"/>
          <w:szCs w:val="28"/>
        </w:rPr>
        <w:t xml:space="preserve"> Стоимость </w:t>
      </w:r>
      <w:r w:rsidR="00C867B1" w:rsidRPr="000128D7">
        <w:rPr>
          <w:b/>
          <w:color w:val="000000"/>
          <w:sz w:val="28"/>
          <w:szCs w:val="28"/>
        </w:rPr>
        <w:t>горнотранспортного</w:t>
      </w:r>
      <w:r w:rsidRPr="000128D7">
        <w:rPr>
          <w:b/>
          <w:color w:val="000000"/>
          <w:sz w:val="28"/>
          <w:szCs w:val="28"/>
        </w:rPr>
        <w:t xml:space="preserve"> оборудования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</w:tblGrid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Стоимость, тыс. р.</w:t>
            </w:r>
          </w:p>
        </w:tc>
      </w:tr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bCs/>
                <w:color w:val="000000"/>
                <w:sz w:val="20"/>
              </w:rPr>
            </w:pPr>
            <w:r w:rsidRPr="000128D7">
              <w:rPr>
                <w:bCs/>
                <w:color w:val="000000"/>
                <w:sz w:val="20"/>
              </w:rPr>
              <w:t>Ферросиликомарганец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Передвижной агрегат СМД26Б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Передвижной агрегат СМД27Б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Питатель ленточный ПЛОО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Мельница МШР 2100х2200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Классификатор 1 КСН-12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Насосы песков. П12,5/12,5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Сгуститель Ц6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Грохот ГИТ-32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Отсадочная машина МОД 0,2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Отсадочная машина МОД 1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Отсадочная машина МОД 2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Классификатор КСН-3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Классификатор КСН-7,5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Классификатор КСН- 1,0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Печи эл. Термические ДСПЗ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Экспресс-анализатор с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принадлеж. на «С» </w:t>
            </w:r>
            <w:r w:rsidRPr="000128D7">
              <w:rPr>
                <w:iCs/>
                <w:color w:val="000000"/>
                <w:sz w:val="20"/>
              </w:rPr>
              <w:t>АН-75-79</w:t>
            </w:r>
            <w:r w:rsidRPr="000128D7">
              <w:rPr>
                <w:color w:val="000000"/>
                <w:sz w:val="20"/>
              </w:rPr>
              <w:t xml:space="preserve"> Экспресс-анализатор с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принадлеж. на «</w:t>
            </w:r>
            <w:r w:rsidRPr="000128D7">
              <w:rPr>
                <w:color w:val="000000"/>
                <w:sz w:val="20"/>
                <w:lang w:val="en-US"/>
              </w:rPr>
              <w:t>S</w:t>
            </w:r>
            <w:r w:rsidRPr="000128D7">
              <w:rPr>
                <w:color w:val="000000"/>
                <w:sz w:val="20"/>
              </w:rPr>
              <w:t xml:space="preserve">» </w:t>
            </w:r>
            <w:r w:rsidRPr="000128D7">
              <w:rPr>
                <w:iCs/>
                <w:color w:val="000000"/>
                <w:sz w:val="20"/>
              </w:rPr>
              <w:t>АН-75-32</w:t>
            </w:r>
            <w:r w:rsidRPr="000128D7">
              <w:rPr>
                <w:color w:val="000000"/>
                <w:sz w:val="20"/>
              </w:rPr>
              <w:t xml:space="preserve"> Спектометр «Спектроскан»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Анализатор спектральный</w:t>
            </w:r>
          </w:p>
          <w:p w:rsidR="00690459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для определения ртути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Анализатор РДУ «Фарад»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2000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2000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1125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1771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1660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250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3400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2200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500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200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600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320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1000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300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9520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130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240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240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340</w:t>
            </w:r>
          </w:p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350</w:t>
            </w:r>
          </w:p>
        </w:tc>
      </w:tr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bCs/>
                <w:color w:val="000000"/>
                <w:sz w:val="20"/>
              </w:rPr>
            </w:pPr>
            <w:r w:rsidRPr="000128D7">
              <w:rPr>
                <w:bCs/>
                <w:color w:val="000000"/>
                <w:sz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28 146</w:t>
            </w:r>
          </w:p>
        </w:tc>
      </w:tr>
    </w:tbl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Номенклатура намечаемых к строительству зданий и сооружений для нормального функционирования предприятия приведена в таблице </w:t>
      </w:r>
      <w:r w:rsidR="00C867B1" w:rsidRPr="000128D7">
        <w:rPr>
          <w:color w:val="000000"/>
          <w:sz w:val="28"/>
          <w:szCs w:val="28"/>
        </w:rPr>
        <w:t>5</w:t>
      </w:r>
      <w:r w:rsidRPr="000128D7">
        <w:rPr>
          <w:color w:val="000000"/>
          <w:sz w:val="28"/>
          <w:szCs w:val="28"/>
        </w:rPr>
        <w:t>.</w:t>
      </w:r>
    </w:p>
    <w:p w:rsidR="00C867B1" w:rsidRPr="000128D7" w:rsidRDefault="00C867B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128D7">
        <w:rPr>
          <w:b/>
          <w:bCs/>
          <w:color w:val="000000"/>
          <w:sz w:val="28"/>
          <w:szCs w:val="28"/>
        </w:rPr>
        <w:t xml:space="preserve">Таблица </w:t>
      </w:r>
      <w:r w:rsidR="00C867B1" w:rsidRPr="000128D7">
        <w:rPr>
          <w:b/>
          <w:bCs/>
          <w:color w:val="000000"/>
          <w:sz w:val="28"/>
          <w:szCs w:val="28"/>
        </w:rPr>
        <w:t>5</w:t>
      </w:r>
      <w:r w:rsidR="001925A6" w:rsidRPr="000128D7">
        <w:rPr>
          <w:b/>
          <w:bCs/>
          <w:color w:val="000000"/>
          <w:sz w:val="28"/>
          <w:szCs w:val="28"/>
        </w:rPr>
        <w:t>.</w:t>
      </w:r>
      <w:r w:rsidR="00690459" w:rsidRPr="000128D7">
        <w:rPr>
          <w:b/>
          <w:bCs/>
          <w:color w:val="000000"/>
          <w:sz w:val="28"/>
          <w:szCs w:val="28"/>
        </w:rPr>
        <w:t xml:space="preserve"> </w:t>
      </w:r>
      <w:r w:rsidRPr="000128D7">
        <w:rPr>
          <w:b/>
          <w:color w:val="000000"/>
          <w:sz w:val="28"/>
          <w:szCs w:val="28"/>
        </w:rPr>
        <w:t>Номенклатура намечаемых к строительству зданий и сооружений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578"/>
      </w:tblGrid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Стоимость, тыс. р.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Вентиляционная установка 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150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Компрессорная с подстанцией 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190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Блок «А» в составе механических мастерских и бурозаправочной 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270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Адмбыткомбинат 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250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Котельная на </w:t>
            </w:r>
            <w:r w:rsidR="00812507" w:rsidRPr="000128D7">
              <w:rPr>
                <w:color w:val="000000"/>
                <w:sz w:val="20"/>
              </w:rPr>
              <w:t>3</w:t>
            </w:r>
            <w:r w:rsidRPr="000128D7">
              <w:rPr>
                <w:color w:val="000000"/>
                <w:sz w:val="20"/>
              </w:rPr>
              <w:t xml:space="preserve"> котла типа КЕ 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140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Материально-технический склад 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80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Гараж на 5 автомобилей 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600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Очистные сооружения хозяйственно-бытовых стоков 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vertAlign w:val="superscript"/>
              </w:rPr>
            </w:pPr>
            <w:r w:rsidRPr="000128D7">
              <w:rPr>
                <w:color w:val="000000"/>
                <w:sz w:val="20"/>
              </w:rPr>
              <w:t>Склад ГСМ на 100 м</w:t>
            </w:r>
            <w:r w:rsidRPr="000128D7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150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Вахтовый поселок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340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Котельная вахтового поселка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120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Центральная подстанция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320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ЛЭП-35 кВ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1200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Магистральные линии связи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90</w:t>
            </w:r>
          </w:p>
        </w:tc>
      </w:tr>
      <w:tr w:rsidR="00224806" w:rsidRPr="000128D7" w:rsidTr="000128D7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Итого: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3930</w:t>
            </w:r>
          </w:p>
        </w:tc>
      </w:tr>
    </w:tbl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Также в сметную стоимость предприятия следует отнести горно- капитальные работы: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60 тыс. м</w:t>
      </w:r>
      <w:r w:rsidRPr="000128D7">
        <w:rPr>
          <w:color w:val="000000"/>
          <w:sz w:val="28"/>
          <w:szCs w:val="28"/>
          <w:vertAlign w:val="superscript"/>
        </w:rPr>
        <w:t>3</w:t>
      </w:r>
      <w:r w:rsidRPr="000128D7">
        <w:rPr>
          <w:color w:val="000000"/>
          <w:sz w:val="28"/>
          <w:szCs w:val="28"/>
        </w:rPr>
        <w:t xml:space="preserve"> * 180 руб/м</w:t>
      </w:r>
      <w:r w:rsidRPr="000128D7">
        <w:rPr>
          <w:color w:val="000000"/>
          <w:sz w:val="28"/>
          <w:szCs w:val="28"/>
          <w:vertAlign w:val="superscript"/>
        </w:rPr>
        <w:t>3</w:t>
      </w:r>
      <w:r w:rsidRPr="000128D7">
        <w:rPr>
          <w:color w:val="000000"/>
          <w:sz w:val="28"/>
          <w:szCs w:val="28"/>
        </w:rPr>
        <w:t xml:space="preserve"> = 10 800 тыс. руб.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Следовательно, потребуются основные фонды на сумму 42 876 тыс. руб.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Расходы на оборотные средства приведены в таблице </w:t>
      </w:r>
      <w:r w:rsidR="00C867B1" w:rsidRPr="000128D7">
        <w:rPr>
          <w:color w:val="000000"/>
          <w:sz w:val="28"/>
          <w:szCs w:val="28"/>
        </w:rPr>
        <w:t>6</w:t>
      </w:r>
      <w:r w:rsidRPr="000128D7">
        <w:rPr>
          <w:color w:val="000000"/>
          <w:sz w:val="28"/>
          <w:szCs w:val="28"/>
        </w:rPr>
        <w:t>.</w:t>
      </w:r>
    </w:p>
    <w:p w:rsidR="00C867B1" w:rsidRPr="000128D7" w:rsidRDefault="00C867B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 xml:space="preserve">Таблица </w:t>
      </w:r>
      <w:r w:rsidR="00C867B1" w:rsidRPr="000128D7">
        <w:rPr>
          <w:b/>
          <w:color w:val="000000"/>
          <w:sz w:val="28"/>
          <w:szCs w:val="28"/>
        </w:rPr>
        <w:t>6</w:t>
      </w:r>
      <w:r w:rsidR="001925A6" w:rsidRPr="000128D7">
        <w:rPr>
          <w:b/>
          <w:color w:val="000000"/>
          <w:sz w:val="28"/>
          <w:szCs w:val="28"/>
        </w:rPr>
        <w:t>.</w:t>
      </w:r>
      <w:r w:rsidR="00690459" w:rsidRPr="000128D7">
        <w:rPr>
          <w:b/>
          <w:color w:val="000000"/>
          <w:sz w:val="28"/>
          <w:szCs w:val="28"/>
        </w:rPr>
        <w:t xml:space="preserve"> </w:t>
      </w:r>
      <w:r w:rsidRPr="000128D7">
        <w:rPr>
          <w:b/>
          <w:color w:val="000000"/>
          <w:sz w:val="28"/>
          <w:szCs w:val="28"/>
        </w:rPr>
        <w:t>Расходы на оборотные средства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781"/>
      </w:tblGrid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Стоимость, тыс. р.</w:t>
            </w:r>
          </w:p>
        </w:tc>
      </w:tr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Электроэнергия 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9600 тыс. кВт * 40 коп = 3840</w:t>
            </w:r>
          </w:p>
        </w:tc>
      </w:tr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Вода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1000 м</w:t>
            </w:r>
            <w:r w:rsidRPr="000128D7">
              <w:rPr>
                <w:color w:val="000000"/>
                <w:sz w:val="20"/>
                <w:vertAlign w:val="superscript"/>
              </w:rPr>
              <w:t>3</w:t>
            </w:r>
            <w:r w:rsidRPr="000128D7">
              <w:rPr>
                <w:color w:val="000000"/>
                <w:sz w:val="20"/>
              </w:rPr>
              <w:t xml:space="preserve"> * 70 руб/м</w:t>
            </w:r>
            <w:r w:rsidRPr="000128D7">
              <w:rPr>
                <w:color w:val="000000"/>
                <w:sz w:val="20"/>
                <w:vertAlign w:val="superscript"/>
              </w:rPr>
              <w:t>3</w:t>
            </w:r>
            <w:r w:rsidRPr="000128D7">
              <w:rPr>
                <w:color w:val="000000"/>
                <w:sz w:val="20"/>
              </w:rPr>
              <w:t xml:space="preserve"> = 70</w:t>
            </w:r>
          </w:p>
        </w:tc>
      </w:tr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ГСМ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450 т * 21 руб/т = 9450</w:t>
            </w:r>
          </w:p>
        </w:tc>
      </w:tr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Уголь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15000 тыс. т * 350 руб/т = 5250</w:t>
            </w:r>
          </w:p>
        </w:tc>
      </w:tr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300</w:t>
            </w:r>
          </w:p>
        </w:tc>
      </w:tr>
      <w:tr w:rsidR="00224806" w:rsidRPr="000128D7" w:rsidTr="000128D7">
        <w:trPr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Итого:</w:t>
            </w:r>
          </w:p>
        </w:tc>
        <w:tc>
          <w:tcPr>
            <w:tcW w:w="478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18910</w:t>
            </w:r>
          </w:p>
        </w:tc>
      </w:tr>
    </w:tbl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Среднемесячная заработная плата </w:t>
      </w:r>
      <w:r w:rsidRPr="000128D7">
        <w:rPr>
          <w:iCs/>
          <w:color w:val="000000"/>
          <w:sz w:val="28"/>
          <w:szCs w:val="28"/>
        </w:rPr>
        <w:t xml:space="preserve">6,5 </w:t>
      </w:r>
      <w:r w:rsidRPr="000128D7">
        <w:rPr>
          <w:color w:val="000000"/>
          <w:sz w:val="28"/>
          <w:szCs w:val="28"/>
        </w:rPr>
        <w:t>тыс. руб., получаем годовой ФЗП в размере 7020 тыс. руб.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Затраты на производство определены на основании принятой технологии и организации труда в соответствии с расчетными объемами работ.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При определении затрат по отдельным элементам и калькуляционным статьям использованы данные действующих предприятий за 200</w:t>
      </w:r>
      <w:r w:rsidR="007751F5" w:rsidRPr="000128D7">
        <w:rPr>
          <w:color w:val="000000"/>
          <w:sz w:val="28"/>
          <w:szCs w:val="28"/>
        </w:rPr>
        <w:t>6</w:t>
      </w:r>
      <w:r w:rsidRPr="000128D7">
        <w:rPr>
          <w:color w:val="000000"/>
          <w:sz w:val="28"/>
          <w:szCs w:val="28"/>
        </w:rPr>
        <w:t xml:space="preserve"> год. Калькуляция на добычу и переработку руды приведена в таблице </w:t>
      </w:r>
      <w:r w:rsidR="005F17D6" w:rsidRPr="000128D7">
        <w:rPr>
          <w:color w:val="000000"/>
          <w:sz w:val="28"/>
          <w:szCs w:val="28"/>
        </w:rPr>
        <w:t>7</w:t>
      </w:r>
      <w:r w:rsidRPr="000128D7">
        <w:rPr>
          <w:color w:val="000000"/>
          <w:sz w:val="28"/>
          <w:szCs w:val="28"/>
        </w:rPr>
        <w:t>.</w:t>
      </w:r>
    </w:p>
    <w:p w:rsidR="005F17D6" w:rsidRPr="000128D7" w:rsidRDefault="005F17D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 xml:space="preserve">Таблица </w:t>
      </w:r>
      <w:r w:rsidR="005F17D6" w:rsidRPr="000128D7">
        <w:rPr>
          <w:b/>
          <w:color w:val="000000"/>
          <w:sz w:val="28"/>
          <w:szCs w:val="28"/>
        </w:rPr>
        <w:t>7</w:t>
      </w:r>
      <w:r w:rsidR="001925A6" w:rsidRPr="000128D7">
        <w:rPr>
          <w:b/>
          <w:color w:val="000000"/>
          <w:sz w:val="28"/>
          <w:szCs w:val="28"/>
        </w:rPr>
        <w:t>.</w:t>
      </w:r>
      <w:r w:rsidR="00690459" w:rsidRPr="000128D7">
        <w:rPr>
          <w:b/>
          <w:color w:val="000000"/>
          <w:sz w:val="28"/>
          <w:szCs w:val="28"/>
        </w:rPr>
        <w:t xml:space="preserve"> </w:t>
      </w:r>
      <w:r w:rsidRPr="000128D7">
        <w:rPr>
          <w:b/>
          <w:color w:val="000000"/>
          <w:sz w:val="28"/>
          <w:szCs w:val="28"/>
        </w:rPr>
        <w:t>Затраты на добычу и переработку руды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</w:tblGrid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Затраты, тыс. р.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Годовой ФЗП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7020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Единый социальный налог (26%)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1825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Электроэнергия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3840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Уголь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5250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Вода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70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Амортизация (линейный способ)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3900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Текущий ремонт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1600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Рекультивация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50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Охрана природы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75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Плата за землю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98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Цеховые расходы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3300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Транспортировка руды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885</w:t>
            </w:r>
          </w:p>
        </w:tc>
      </w:tr>
      <w:tr w:rsidR="00224806" w:rsidRPr="000128D7" w:rsidTr="000128D7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 xml:space="preserve">Итого: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0128D7">
              <w:rPr>
                <w:color w:val="000000"/>
                <w:sz w:val="20"/>
              </w:rPr>
              <w:t>27913</w:t>
            </w:r>
          </w:p>
        </w:tc>
      </w:tr>
    </w:tbl>
    <w:p w:rsidR="005F17D6" w:rsidRPr="000128D7" w:rsidRDefault="005F17D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Исходя из приведенных выше затрат, можно сделать вывод, что производства ферросиликомарганца потребуются капитальные вложения в размере 70 млн. руб.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Разработчиком данного месторождения может стать организация «Приаргунское производственное горно-химическое объединение». Вид деятельности – промышленность. Организационно-правовая форма / форма собственности: ОАО / Смешанная Российская собственность.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Укрупненная структура баланса предприятия ОАО «ППГХО» представлена в таблице </w:t>
      </w:r>
      <w:r w:rsidR="0007413E" w:rsidRPr="000128D7">
        <w:rPr>
          <w:color w:val="000000"/>
          <w:sz w:val="28"/>
          <w:szCs w:val="28"/>
        </w:rPr>
        <w:t>8</w:t>
      </w:r>
      <w:r w:rsidRPr="000128D7">
        <w:rPr>
          <w:color w:val="000000"/>
          <w:sz w:val="28"/>
          <w:szCs w:val="28"/>
        </w:rPr>
        <w:t>.</w:t>
      </w:r>
    </w:p>
    <w:p w:rsidR="0007413E" w:rsidRPr="000128D7" w:rsidRDefault="0007413E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 xml:space="preserve">Таблица </w:t>
      </w:r>
      <w:r w:rsidR="0007413E" w:rsidRPr="000128D7">
        <w:rPr>
          <w:b/>
          <w:color w:val="000000"/>
          <w:sz w:val="28"/>
          <w:szCs w:val="28"/>
        </w:rPr>
        <w:t>8</w:t>
      </w:r>
      <w:r w:rsidR="001925A6" w:rsidRPr="000128D7">
        <w:rPr>
          <w:b/>
          <w:color w:val="000000"/>
          <w:sz w:val="28"/>
          <w:szCs w:val="28"/>
        </w:rPr>
        <w:t>.</w:t>
      </w:r>
      <w:r w:rsidRPr="000128D7">
        <w:rPr>
          <w:b/>
          <w:color w:val="000000"/>
          <w:sz w:val="28"/>
          <w:szCs w:val="28"/>
        </w:rPr>
        <w:t xml:space="preserve"> Структура баланса предприятия ОАО «ППГХО»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678"/>
      </w:tblGrid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Значения, тыс. р.</w:t>
            </w:r>
          </w:p>
        </w:tc>
      </w:tr>
      <w:tr w:rsidR="00224806" w:rsidRPr="000128D7" w:rsidTr="000128D7">
        <w:trPr>
          <w:jc w:val="center"/>
        </w:trPr>
        <w:tc>
          <w:tcPr>
            <w:tcW w:w="5897" w:type="dxa"/>
            <w:gridSpan w:val="2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Актив баланса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1. Нематериальные активы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301 329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2. Основные средства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7 146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3. Долгосрочные финансовые вложения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124 525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4. Незавершенное строительство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49 732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482 802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Оборотные активы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1. Запасы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433 294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2. НДС по приобретенным ценностям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31 050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3. Дебиторская задолженность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65 533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4. Денежные средства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2 534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532 411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Итого (актив)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1 015 213</w:t>
            </w:r>
          </w:p>
        </w:tc>
      </w:tr>
      <w:tr w:rsidR="00224806" w:rsidRPr="000128D7" w:rsidTr="000128D7">
        <w:trPr>
          <w:jc w:val="center"/>
        </w:trPr>
        <w:tc>
          <w:tcPr>
            <w:tcW w:w="5897" w:type="dxa"/>
            <w:gridSpan w:val="2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Пассив баланса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Капиталорезервы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1. Уставный капитал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126 759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2. Добавочный капитал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384 158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3. Резервный капитал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4. Нераспределенная прибыль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7 840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518 753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Долгосрочные пассивы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1. Займы и кредиты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26 116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2. Кредиторская задолженность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3. Доходы будущих периодов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4. Резервы предстоящих расходов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26 116</w:t>
            </w:r>
          </w:p>
        </w:tc>
      </w:tr>
      <w:tr w:rsidR="00224806" w:rsidRPr="000128D7" w:rsidTr="000128D7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Итого (пассив) 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593 798</w:t>
            </w:r>
          </w:p>
        </w:tc>
      </w:tr>
    </w:tbl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 состав годовой отчетности входит отчет движения капитала, характеризующий собственный капитал, фонды накопления и социальной сферы, целевое финансирование и поступления из бюджета, а также прочие фонды и резервы.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Приложения к бухгалтерскому балансу включают данные по движению заемных средств, дебиторской и кредиторской задолженностях, об амортизируемом имуществе, о движении средств финансирования долгосрочных инвестиций и финансовых вложений, о затратах, произведенных предприятием, расшифровки отдельных прибылей и убытков, социальные показатели, а также справки о наличие ценностей, учитываемых на забалансовых счетах.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Анализ финансовой устойчивости ориентирован на оценку надежности предприятия с точки зрения его платежеспособности. Путем анализа устанавливается тип финансовой устойчивости – нормальный (запасы и затраты обеспечиваются суммой собственных оборотных средств и долгосрочными заемными источниками).</w:t>
      </w:r>
    </w:p>
    <w:p w:rsidR="00C06131" w:rsidRPr="000128D7" w:rsidRDefault="00C06131">
      <w:pPr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br w:type="page"/>
      </w:r>
    </w:p>
    <w:p w:rsidR="00224806" w:rsidRPr="000128D7" w:rsidRDefault="00224806" w:rsidP="00C06131">
      <w:pPr>
        <w:pStyle w:val="2"/>
        <w:keepNext w:val="0"/>
        <w:numPr>
          <w:ilvl w:val="1"/>
          <w:numId w:val="18"/>
        </w:numPr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bookmarkStart w:id="5" w:name="_Toc186678509"/>
      <w:r w:rsidRPr="000128D7">
        <w:rPr>
          <w:rFonts w:ascii="Times New Roman" w:hAnsi="Times New Roman" w:cs="Times New Roman"/>
          <w:i w:val="0"/>
          <w:color w:val="000000"/>
        </w:rPr>
        <w:t>Финансирование проекта</w:t>
      </w:r>
      <w:bookmarkEnd w:id="5"/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Использование собственных и привлеченных ресурсов подразумевает вовлечение в инвестиционную деятельность активов нескольких собственников. В этом случае предприятие для осуществления реальных инвестиционных проектов должно правильно оценить стоимость инвестиционных средств, то есть привлечь доступные ресурсы самым дешевым способом и согласовать интересы всех инвесторов. Кроме собственных ресурсов предприятия существуют альтернативные источники, такие как кредит, аренда, лизинг, эмиссия акций и облигаций и прочие финансовые инструменты.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В качестве механизма оценки приемлемых решений использования различных инвестиционных ресурсов важно определить стоимость заемных средств и ресурсов. Большинство экономических проектов финансируется за счет собственных и кредитных ресурсов, поэтому важно определить стоимость инвестируемых средств и ресурсов, то есть стоимость капитала. Вложение средств в инвестиционный проект оправдано только в том случае, если эта финансовая операция принесет больший доход, чем по альтернативным вариантам при примерно одинаковом уровне риска.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Проанализировав баланс предприятия «ОАО </w:t>
      </w:r>
      <w:r w:rsidR="00457683" w:rsidRPr="000128D7">
        <w:rPr>
          <w:color w:val="000000"/>
          <w:sz w:val="28"/>
          <w:szCs w:val="28"/>
        </w:rPr>
        <w:t>ПП</w:t>
      </w:r>
      <w:r w:rsidRPr="000128D7">
        <w:rPr>
          <w:color w:val="000000"/>
          <w:sz w:val="28"/>
          <w:szCs w:val="28"/>
        </w:rPr>
        <w:t xml:space="preserve">ГХО», можно сделать вывод, что оно способно разрабатывать Громовское месторождение, выделив на это </w:t>
      </w:r>
      <w:r w:rsidRPr="000128D7">
        <w:rPr>
          <w:iCs/>
          <w:color w:val="000000"/>
          <w:sz w:val="28"/>
          <w:szCs w:val="28"/>
        </w:rPr>
        <w:t xml:space="preserve">50 </w:t>
      </w:r>
      <w:r w:rsidRPr="000128D7">
        <w:rPr>
          <w:color w:val="000000"/>
          <w:sz w:val="28"/>
          <w:szCs w:val="28"/>
        </w:rPr>
        <w:t>млн. руб., остальные 20 млн. руб. – в кредит под 15% годовых.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128D7">
        <w:rPr>
          <w:color w:val="000000"/>
          <w:sz w:val="28"/>
          <w:szCs w:val="28"/>
        </w:rPr>
        <w:t>А</w:t>
      </w:r>
      <w:r w:rsidRPr="000128D7">
        <w:rPr>
          <w:color w:val="000000"/>
          <w:sz w:val="28"/>
          <w:szCs w:val="28"/>
          <w:lang w:val="en-US"/>
        </w:rPr>
        <w:t xml:space="preserve"> = </w:t>
      </w:r>
      <w:r w:rsidRPr="000128D7">
        <w:rPr>
          <w:color w:val="000000"/>
          <w:sz w:val="28"/>
          <w:szCs w:val="28"/>
        </w:rPr>
        <w:t>Р</w:t>
      </w:r>
      <w:r w:rsidRPr="000128D7">
        <w:rPr>
          <w:color w:val="000000"/>
          <w:sz w:val="28"/>
          <w:szCs w:val="28"/>
          <w:lang w:val="en-US"/>
        </w:rPr>
        <w:t xml:space="preserve">n/T(i;n), </w:t>
      </w:r>
      <w:r w:rsidRPr="000128D7">
        <w:rPr>
          <w:color w:val="000000"/>
          <w:sz w:val="28"/>
          <w:szCs w:val="28"/>
          <w:lang w:val="en-US"/>
        </w:rPr>
        <w:tab/>
        <w:t>(</w:t>
      </w:r>
      <w:r w:rsidR="007960B3" w:rsidRPr="000128D7">
        <w:rPr>
          <w:color w:val="000000"/>
          <w:sz w:val="28"/>
          <w:szCs w:val="28"/>
          <w:lang w:val="en-US"/>
        </w:rPr>
        <w:t>3</w:t>
      </w:r>
      <w:r w:rsidRPr="000128D7">
        <w:rPr>
          <w:color w:val="000000"/>
          <w:sz w:val="28"/>
          <w:szCs w:val="28"/>
          <w:lang w:val="en-US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128D7">
        <w:rPr>
          <w:color w:val="000000"/>
          <w:sz w:val="28"/>
          <w:szCs w:val="28"/>
          <w:lang w:val="en-US"/>
        </w:rPr>
        <w:t>T = 1/i(1 – 1/(1+i)</w:t>
      </w:r>
      <w:r w:rsidRPr="000128D7">
        <w:rPr>
          <w:color w:val="000000"/>
          <w:sz w:val="28"/>
          <w:szCs w:val="28"/>
          <w:vertAlign w:val="superscript"/>
          <w:lang w:val="en-US"/>
        </w:rPr>
        <w:t>t</w:t>
      </w:r>
      <w:r w:rsidRPr="000128D7">
        <w:rPr>
          <w:color w:val="000000"/>
          <w:sz w:val="28"/>
          <w:szCs w:val="28"/>
          <w:lang w:val="en-US"/>
        </w:rPr>
        <w:t xml:space="preserve">), </w:t>
      </w:r>
      <w:r w:rsidRPr="000128D7">
        <w:rPr>
          <w:color w:val="000000"/>
          <w:sz w:val="28"/>
          <w:szCs w:val="28"/>
          <w:lang w:val="en-US"/>
        </w:rPr>
        <w:tab/>
        <w:t>(</w:t>
      </w:r>
      <w:r w:rsidR="007960B3" w:rsidRPr="000128D7">
        <w:rPr>
          <w:color w:val="000000"/>
          <w:sz w:val="28"/>
          <w:szCs w:val="28"/>
          <w:lang w:val="en-US"/>
        </w:rPr>
        <w:t>4</w:t>
      </w:r>
      <w:r w:rsidRPr="000128D7">
        <w:rPr>
          <w:color w:val="000000"/>
          <w:sz w:val="28"/>
          <w:szCs w:val="28"/>
          <w:lang w:val="en-US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где А – периодические платежи, тыс. руб.;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</w:t>
      </w:r>
      <w:r w:rsidRPr="000128D7">
        <w:rPr>
          <w:color w:val="000000"/>
          <w:sz w:val="28"/>
          <w:szCs w:val="28"/>
          <w:lang w:val="en-US"/>
        </w:rPr>
        <w:t>n</w:t>
      </w:r>
      <w:r w:rsidRPr="000128D7">
        <w:rPr>
          <w:color w:val="000000"/>
          <w:sz w:val="28"/>
          <w:szCs w:val="28"/>
        </w:rPr>
        <w:t xml:space="preserve"> – сумма кредита, тыс. руб.;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Т – текущая стоимость серии равных периодических выплат;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i – банковский процент;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  <w:lang w:val="en-US"/>
        </w:rPr>
        <w:t>t</w:t>
      </w:r>
      <w:r w:rsidRPr="000128D7">
        <w:rPr>
          <w:color w:val="000000"/>
          <w:sz w:val="28"/>
          <w:szCs w:val="28"/>
        </w:rPr>
        <w:t xml:space="preserve"> – период, на который берется кредит, лет.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Т = 1/0,15(1 – 1/(1 + 0,15)</w:t>
      </w:r>
      <w:r w:rsidRPr="000128D7">
        <w:rPr>
          <w:color w:val="000000"/>
          <w:sz w:val="28"/>
          <w:szCs w:val="28"/>
          <w:vertAlign w:val="superscript"/>
        </w:rPr>
        <w:t>5</w:t>
      </w:r>
      <w:r w:rsidRPr="000128D7">
        <w:rPr>
          <w:color w:val="000000"/>
          <w:sz w:val="28"/>
          <w:szCs w:val="28"/>
        </w:rPr>
        <w:t>)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А = 20 000 </w:t>
      </w:r>
      <w:r w:rsidRPr="000128D7">
        <w:rPr>
          <w:iCs/>
          <w:color w:val="000000"/>
          <w:sz w:val="28"/>
          <w:szCs w:val="28"/>
        </w:rPr>
        <w:t xml:space="preserve">тыс. / </w:t>
      </w:r>
      <w:r w:rsidR="001925A6" w:rsidRPr="000128D7">
        <w:rPr>
          <w:iCs/>
          <w:color w:val="000000"/>
          <w:sz w:val="28"/>
          <w:szCs w:val="28"/>
        </w:rPr>
        <w:t>3</w:t>
      </w:r>
      <w:r w:rsidRPr="000128D7">
        <w:rPr>
          <w:iCs/>
          <w:color w:val="000000"/>
          <w:sz w:val="28"/>
          <w:szCs w:val="28"/>
        </w:rPr>
        <w:t xml:space="preserve">,352 = 5 967 </w:t>
      </w:r>
      <w:r w:rsidRPr="000128D7">
        <w:rPr>
          <w:color w:val="000000"/>
          <w:sz w:val="28"/>
          <w:szCs w:val="28"/>
        </w:rPr>
        <w:t>тыс. руб./год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Ниже представлены данные по погашению в рассрочку долгосрочной ссуды – 20 млн. руб. (табл. </w:t>
      </w:r>
      <w:r w:rsidR="001925A6" w:rsidRPr="000128D7">
        <w:rPr>
          <w:color w:val="000000"/>
          <w:sz w:val="28"/>
          <w:szCs w:val="28"/>
        </w:rPr>
        <w:t>9</w:t>
      </w:r>
      <w:r w:rsidRPr="000128D7">
        <w:rPr>
          <w:color w:val="000000"/>
          <w:sz w:val="28"/>
          <w:szCs w:val="28"/>
        </w:rPr>
        <w:t>).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128D7">
        <w:rPr>
          <w:b/>
          <w:bCs/>
          <w:color w:val="000000"/>
          <w:sz w:val="28"/>
          <w:szCs w:val="28"/>
        </w:rPr>
        <w:t xml:space="preserve">Таблица </w:t>
      </w:r>
      <w:r w:rsidR="001925A6" w:rsidRPr="000128D7">
        <w:rPr>
          <w:b/>
          <w:bCs/>
          <w:color w:val="000000"/>
          <w:sz w:val="28"/>
          <w:szCs w:val="28"/>
        </w:rPr>
        <w:t>9.</w:t>
      </w:r>
      <w:r w:rsidR="00690459" w:rsidRPr="000128D7">
        <w:rPr>
          <w:b/>
          <w:bCs/>
          <w:color w:val="000000"/>
          <w:sz w:val="28"/>
          <w:szCs w:val="28"/>
        </w:rPr>
        <w:t xml:space="preserve"> </w:t>
      </w:r>
      <w:r w:rsidRPr="000128D7">
        <w:rPr>
          <w:b/>
          <w:bCs/>
          <w:color w:val="000000"/>
          <w:sz w:val="28"/>
          <w:szCs w:val="28"/>
        </w:rPr>
        <w:t>Данные по погашению в рассрочку долгосрочной ссуды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093"/>
        <w:gridCol w:w="1423"/>
        <w:gridCol w:w="1746"/>
        <w:gridCol w:w="2222"/>
      </w:tblGrid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Остаток долга,</w:t>
            </w:r>
            <w:r w:rsidR="00690459" w:rsidRPr="000128D7">
              <w:rPr>
                <w:color w:val="000000"/>
                <w:sz w:val="20"/>
                <w:szCs w:val="28"/>
              </w:rPr>
              <w:t xml:space="preserve"> </w:t>
            </w:r>
            <w:r w:rsidRPr="000128D7">
              <w:rPr>
                <w:color w:val="000000"/>
                <w:sz w:val="20"/>
                <w:szCs w:val="28"/>
              </w:rPr>
              <w:t>тыс. р.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Обязательные платежи, тыс. 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Проценты, тыс. р.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Сумма погашения основной части долга, тыс. р.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20000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2967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17033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2555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3412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13621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2043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3924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  <w:szCs w:val="28"/>
              </w:rPr>
            </w:pPr>
            <w:r w:rsidRPr="000128D7">
              <w:rPr>
                <w:iCs/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9697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1455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4512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5185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778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5189</w:t>
            </w:r>
          </w:p>
        </w:tc>
      </w:tr>
    </w:tbl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128D7">
        <w:rPr>
          <w:bCs/>
          <w:color w:val="000000"/>
          <w:sz w:val="28"/>
          <w:szCs w:val="28"/>
        </w:rPr>
        <w:t xml:space="preserve">Далее приведены основные технико-экономические показатели Громовского месторождения (табл. </w:t>
      </w:r>
      <w:r w:rsidR="001925A6" w:rsidRPr="000128D7">
        <w:rPr>
          <w:bCs/>
          <w:color w:val="000000"/>
          <w:sz w:val="28"/>
          <w:szCs w:val="28"/>
        </w:rPr>
        <w:t>10</w:t>
      </w:r>
      <w:r w:rsidRPr="000128D7">
        <w:rPr>
          <w:bCs/>
          <w:color w:val="000000"/>
          <w:sz w:val="28"/>
          <w:szCs w:val="28"/>
        </w:rPr>
        <w:t>).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0128D7">
        <w:rPr>
          <w:b/>
          <w:bCs/>
          <w:color w:val="000000"/>
          <w:sz w:val="28"/>
          <w:szCs w:val="28"/>
        </w:rPr>
        <w:t>Таблица</w:t>
      </w:r>
      <w:r w:rsidR="001925A6" w:rsidRPr="000128D7">
        <w:rPr>
          <w:b/>
          <w:bCs/>
          <w:color w:val="000000"/>
          <w:sz w:val="28"/>
          <w:szCs w:val="28"/>
        </w:rPr>
        <w:t xml:space="preserve">10. </w:t>
      </w:r>
      <w:r w:rsidRPr="000128D7">
        <w:rPr>
          <w:b/>
          <w:bCs/>
          <w:color w:val="000000"/>
          <w:sz w:val="28"/>
          <w:szCs w:val="28"/>
        </w:rPr>
        <w:t>Основные технико-экономические показатели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83"/>
        <w:gridCol w:w="716"/>
        <w:gridCol w:w="766"/>
        <w:gridCol w:w="766"/>
        <w:gridCol w:w="666"/>
      </w:tblGrid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Интервалы планирования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1. Эксплуатационные запасы: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-руда, тыс.т.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10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- ср. содержание фтористого кальция, %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31,55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  <w:szCs w:val="28"/>
              </w:rPr>
            </w:pPr>
            <w:r w:rsidRPr="000128D7">
              <w:rPr>
                <w:iCs/>
                <w:color w:val="000000"/>
                <w:sz w:val="20"/>
                <w:szCs w:val="28"/>
              </w:rPr>
              <w:t xml:space="preserve">31,55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31,55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  <w:szCs w:val="28"/>
              </w:rPr>
            </w:pPr>
            <w:r w:rsidRPr="000128D7">
              <w:rPr>
                <w:iCs/>
                <w:color w:val="000000"/>
                <w:sz w:val="20"/>
                <w:szCs w:val="28"/>
              </w:rPr>
              <w:t xml:space="preserve">31,55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31,55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- кол-во фтористого кальция, тыс. т.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31,55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6,31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15,775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15,775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3,155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2. Годовая добыча руды, тыс. т.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10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3. Годовая добыча фтористого кальция, т</w:t>
            </w:r>
            <w:r w:rsidR="00457683" w:rsidRPr="000128D7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3155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6310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  <w:szCs w:val="28"/>
              </w:rPr>
            </w:pPr>
            <w:r w:rsidRPr="000128D7">
              <w:rPr>
                <w:iCs/>
                <w:color w:val="000000"/>
                <w:sz w:val="20"/>
                <w:szCs w:val="28"/>
              </w:rPr>
              <w:t xml:space="preserve">15775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  <w:szCs w:val="28"/>
              </w:rPr>
            </w:pPr>
            <w:r w:rsidRPr="000128D7">
              <w:rPr>
                <w:iCs/>
                <w:color w:val="000000"/>
                <w:sz w:val="20"/>
                <w:szCs w:val="28"/>
              </w:rPr>
              <w:t xml:space="preserve">15775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  <w:szCs w:val="28"/>
              </w:rPr>
            </w:pPr>
            <w:r w:rsidRPr="000128D7">
              <w:rPr>
                <w:iCs/>
                <w:color w:val="000000"/>
                <w:sz w:val="20"/>
                <w:szCs w:val="28"/>
              </w:rPr>
              <w:t xml:space="preserve">3155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4. Среднее извлечение при обогащении, %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90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5. Выпуск концентрата ФФ-92,т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3086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6173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15432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15432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3086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6. Стоимость 1 тонны концентрата,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3600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3600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3600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3600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3600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7.Среднегодовой объем товарной продукции,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1112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2223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55555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55555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1112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8.Среднегодовые эксплуатационные расходы,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5583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11165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27913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27913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5583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9.Плата за недра (3%)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333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1667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1667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333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10.Плата за ВМСБ (5%), тыс.руб.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1111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2778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2778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556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11. Всего затрат,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6472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12943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32358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32358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6472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12. Балансовая прибыль, тыс. руб. (с учетом кредита).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-1327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3313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17230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23197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4640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13.Налогнаприбыль,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795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4135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1114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14. Прочие затраты,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1500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1500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300 </w:t>
            </w:r>
          </w:p>
        </w:tc>
      </w:tr>
      <w:tr w:rsidR="00224806" w:rsidRPr="000128D7" w:rsidTr="000128D7">
        <w:trPr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15. Чистая прибыль,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-1327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2518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13098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17630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3526 </w:t>
            </w:r>
          </w:p>
        </w:tc>
      </w:tr>
    </w:tbl>
    <w:p w:rsidR="001925A6" w:rsidRPr="000128D7" w:rsidRDefault="001925A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Финансовые отчеты формируются для к</w:t>
      </w:r>
      <w:r w:rsidR="001925A6" w:rsidRPr="000128D7">
        <w:rPr>
          <w:color w:val="000000"/>
          <w:sz w:val="28"/>
          <w:szCs w:val="28"/>
        </w:rPr>
        <w:t>аждого интервала планирования п</w:t>
      </w:r>
      <w:r w:rsidRPr="000128D7">
        <w:rPr>
          <w:color w:val="000000"/>
          <w:sz w:val="28"/>
          <w:szCs w:val="28"/>
        </w:rPr>
        <w:t>роекта, а значения по строкам приводят</w:t>
      </w:r>
      <w:r w:rsidR="001925A6" w:rsidRPr="000128D7">
        <w:rPr>
          <w:color w:val="000000"/>
          <w:sz w:val="28"/>
          <w:szCs w:val="28"/>
        </w:rPr>
        <w:t xml:space="preserve">ся с учетом величины интервала </w:t>
      </w:r>
      <w:r w:rsidRPr="000128D7">
        <w:rPr>
          <w:color w:val="000000"/>
          <w:sz w:val="28"/>
          <w:szCs w:val="28"/>
        </w:rPr>
        <w:t>планирования. В данном проекте выделяются пять интервалов планирования: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1 – первый год;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2 – второй год;</w:t>
      </w:r>
    </w:p>
    <w:p w:rsidR="00690459" w:rsidRPr="000128D7" w:rsidRDefault="008D41DC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3</w:t>
      </w:r>
      <w:r w:rsidR="00224806" w:rsidRPr="000128D7">
        <w:rPr>
          <w:color w:val="000000"/>
          <w:sz w:val="28"/>
          <w:szCs w:val="28"/>
        </w:rPr>
        <w:t xml:space="preserve"> – третий, четвертый и пятый годы;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4 – шестой, седьмой, восьмой, девятый и десятый годы;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5 – одиннадцатый год.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Отчет о прибыли характеризует эффективность текущей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деятельности проекта, устанавливая соотношение между доходами и расходами</w:t>
      </w:r>
      <w:r w:rsidR="001925A6" w:rsidRPr="000128D7">
        <w:rPr>
          <w:color w:val="000000"/>
          <w:sz w:val="28"/>
          <w:szCs w:val="28"/>
        </w:rPr>
        <w:t xml:space="preserve"> (табл. 11</w:t>
      </w:r>
      <w:r w:rsidRPr="000128D7">
        <w:rPr>
          <w:color w:val="000000"/>
          <w:sz w:val="28"/>
          <w:szCs w:val="28"/>
        </w:rPr>
        <w:t>).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>Таблиц</w:t>
      </w:r>
      <w:r w:rsidR="001925A6" w:rsidRPr="000128D7">
        <w:rPr>
          <w:b/>
          <w:color w:val="000000"/>
          <w:sz w:val="28"/>
          <w:szCs w:val="28"/>
        </w:rPr>
        <w:t>а 11.</w:t>
      </w:r>
      <w:r w:rsidRPr="000128D7">
        <w:rPr>
          <w:b/>
          <w:color w:val="000000"/>
          <w:sz w:val="28"/>
          <w:szCs w:val="28"/>
        </w:rPr>
        <w:t xml:space="preserve"> Отчет о прибыли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41"/>
        <w:gridCol w:w="716"/>
        <w:gridCol w:w="716"/>
        <w:gridCol w:w="921"/>
        <w:gridCol w:w="914"/>
        <w:gridCol w:w="929"/>
      </w:tblGrid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Показатели, тыс. р.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Интервалы планирования</w:t>
            </w:r>
          </w:p>
        </w:tc>
      </w:tr>
      <w:tr w:rsidR="00224806" w:rsidRPr="000128D7" w:rsidTr="000128D7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  <w:szCs w:val="28"/>
              </w:rPr>
            </w:pPr>
            <w:r w:rsidRPr="000128D7">
              <w:rPr>
                <w:iCs/>
                <w:color w:val="000000"/>
                <w:sz w:val="20"/>
                <w:szCs w:val="28"/>
              </w:rPr>
              <w:t>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  <w:szCs w:val="28"/>
              </w:rPr>
            </w:pPr>
            <w:r w:rsidRPr="000128D7">
              <w:rPr>
                <w:iCs/>
                <w:color w:val="000000"/>
                <w:sz w:val="20"/>
                <w:szCs w:val="28"/>
              </w:rPr>
              <w:t>6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iCs/>
                <w:color w:val="000000"/>
                <w:sz w:val="20"/>
                <w:szCs w:val="28"/>
              </w:rPr>
            </w:pPr>
            <w:r w:rsidRPr="000128D7">
              <w:rPr>
                <w:iCs/>
                <w:color w:val="000000"/>
                <w:sz w:val="20"/>
                <w:szCs w:val="28"/>
              </w:rPr>
              <w:t>7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 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Выручка от реализации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11112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22223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55555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55555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11112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 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Всего затрат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6472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12943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32358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32358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6472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в т. ч среднегодовые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эксплуатационные расходы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5583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11165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27913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27913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5583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плата за недра (3%)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1667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333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плата за ВМСБ (5%)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2778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2778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556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1925A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</w:t>
            </w:r>
            <w:r w:rsidR="00224806" w:rsidRPr="000128D7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%, не включенные в себестоимость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5967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128D7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4 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Балансовая прибыль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-1327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17230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23197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4640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 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Налог на прибыль (24%)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795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5567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1114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 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Прочие технические затраты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300</w:t>
            </w:r>
          </w:p>
        </w:tc>
      </w:tr>
      <w:tr w:rsidR="00224806" w:rsidRPr="000128D7" w:rsidTr="000128D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Чистая прибыль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-1327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2518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13098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17630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3526</w:t>
            </w:r>
          </w:p>
        </w:tc>
      </w:tr>
    </w:tbl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Отчет о движении денежных средств, отражает фактическое движение денежных средств по проекту, в том числе с учетом издержек в оплате. В отчете о движении денежных средств осуществляется также расчет сальдо накопленных реальных </w:t>
      </w:r>
      <w:r w:rsidR="00314270" w:rsidRPr="000128D7">
        <w:rPr>
          <w:color w:val="000000"/>
          <w:sz w:val="28"/>
          <w:szCs w:val="28"/>
        </w:rPr>
        <w:t>денег,</w:t>
      </w:r>
      <w:r w:rsidRPr="000128D7">
        <w:rPr>
          <w:color w:val="000000"/>
          <w:sz w:val="28"/>
          <w:szCs w:val="28"/>
        </w:rPr>
        <w:t xml:space="preserve"> отрицательная величина которого равна дополнительной потребности проекта в финансировании</w:t>
      </w:r>
      <w:r w:rsidR="001925A6" w:rsidRPr="000128D7">
        <w:rPr>
          <w:color w:val="000000"/>
          <w:sz w:val="28"/>
          <w:szCs w:val="28"/>
        </w:rPr>
        <w:t xml:space="preserve"> (табл. 12</w:t>
      </w:r>
      <w:r w:rsidRPr="000128D7">
        <w:rPr>
          <w:color w:val="000000"/>
          <w:sz w:val="28"/>
          <w:szCs w:val="28"/>
        </w:rPr>
        <w:t>).</w:t>
      </w:r>
    </w:p>
    <w:p w:rsidR="009E3A60" w:rsidRPr="000128D7" w:rsidRDefault="009E3A60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90459" w:rsidRPr="000128D7" w:rsidRDefault="001925A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>Таблица 12.</w:t>
      </w:r>
      <w:r w:rsidR="00690459" w:rsidRPr="000128D7">
        <w:rPr>
          <w:b/>
          <w:color w:val="000000"/>
          <w:sz w:val="28"/>
          <w:szCs w:val="28"/>
        </w:rPr>
        <w:t xml:space="preserve"> </w:t>
      </w:r>
      <w:r w:rsidR="00224806" w:rsidRPr="000128D7">
        <w:rPr>
          <w:b/>
          <w:color w:val="000000"/>
          <w:sz w:val="28"/>
          <w:szCs w:val="28"/>
        </w:rPr>
        <w:t>Отчет о движении денежных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16"/>
        <w:gridCol w:w="716"/>
        <w:gridCol w:w="716"/>
        <w:gridCol w:w="921"/>
        <w:gridCol w:w="916"/>
      </w:tblGrid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Интервалы планирования</w:t>
            </w: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6</w:t>
            </w: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Приток денежных средств: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Привлечение кредитов,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20000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Собственные средства,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50000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Выручка от реализации,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11112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22223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55555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55555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11112 </w:t>
            </w: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Доход от продажи постоянных активов,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12830 </w:t>
            </w: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Отток денежных средств: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Общая сумма выплат по кредиту,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5967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5967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5967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Прочие технические затраты,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1500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1500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300 </w:t>
            </w: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Налоговые выплаты, тыс. руб.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795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4135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1114 </w:t>
            </w: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Итого приток: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31112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22223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55555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55555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23942 </w:t>
            </w: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Итого отток: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6267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7362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11602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7067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 xml:space="preserve">1414 </w:t>
            </w:r>
          </w:p>
        </w:tc>
      </w:tr>
      <w:tr w:rsidR="00224806" w:rsidRPr="000128D7" w:rsidTr="000128D7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Баланс денежных средств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24845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14861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43953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48488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806" w:rsidRPr="000128D7" w:rsidRDefault="00224806" w:rsidP="000128D7">
            <w:pPr>
              <w:pStyle w:val="a4"/>
              <w:shd w:val="clear" w:color="000000" w:fill="auto"/>
              <w:suppressAutoHyphens/>
              <w:spacing w:before="0" w:beforeAutospacing="0" w:after="0" w:afterAutospacing="0" w:line="360" w:lineRule="auto"/>
              <w:rPr>
                <w:color w:val="000000"/>
                <w:sz w:val="20"/>
                <w:szCs w:val="28"/>
              </w:rPr>
            </w:pPr>
            <w:r w:rsidRPr="000128D7">
              <w:rPr>
                <w:color w:val="000000"/>
                <w:sz w:val="20"/>
                <w:szCs w:val="28"/>
              </w:rPr>
              <w:t>22528</w:t>
            </w:r>
          </w:p>
        </w:tc>
      </w:tr>
    </w:tbl>
    <w:p w:rsidR="001925A6" w:rsidRPr="000128D7" w:rsidRDefault="001925A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1925A6" w:rsidP="00690459">
      <w:pPr>
        <w:pStyle w:val="a4"/>
        <w:numPr>
          <w:ilvl w:val="1"/>
          <w:numId w:val="18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>Коэффициенты финансовой оценки проекта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Для финансовой оценки прибыли на вложенный капитал рассчитывают следующие коэффициенты: рентабельности, оборачиваемости (деловой активности), финансовой устойчивости и ликвидности.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1. Коэффициенты рентабельности характеризуют прибыльность проекта за установленный период времени.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1) рентабельность активов (РА) характеризует уровень отдачи общих капиталовложений в проект.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РА = ЧП/А, </w:t>
      </w:r>
      <w:r w:rsidRPr="000128D7">
        <w:rPr>
          <w:color w:val="000000"/>
          <w:sz w:val="28"/>
          <w:szCs w:val="28"/>
        </w:rPr>
        <w:tab/>
        <w:t>(</w:t>
      </w:r>
      <w:r w:rsidR="002E15AD" w:rsidRPr="000128D7">
        <w:rPr>
          <w:color w:val="000000"/>
          <w:sz w:val="28"/>
          <w:szCs w:val="28"/>
        </w:rPr>
        <w:t>5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где ЧП – чистая п</w:t>
      </w:r>
      <w:r w:rsidR="001925A6" w:rsidRPr="000128D7">
        <w:rPr>
          <w:color w:val="000000"/>
          <w:sz w:val="28"/>
          <w:szCs w:val="28"/>
        </w:rPr>
        <w:t>рибыль;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А – размер активов.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Рентабельность активов (по годам):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 </w:t>
      </w:r>
      <w:r w:rsidRPr="000128D7">
        <w:rPr>
          <w:iCs/>
          <w:color w:val="000000"/>
          <w:sz w:val="28"/>
          <w:szCs w:val="28"/>
        </w:rPr>
        <w:t>2 518/33 546 = 7,5 %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</w:t>
      </w:r>
      <w:r w:rsidRPr="000128D7">
        <w:rPr>
          <w:color w:val="000000"/>
          <w:sz w:val="28"/>
          <w:szCs w:val="28"/>
          <w:vertAlign w:val="subscript"/>
        </w:rPr>
        <w:t>3</w:t>
      </w:r>
      <w:r w:rsidRPr="000128D7">
        <w:rPr>
          <w:color w:val="000000"/>
          <w:sz w:val="28"/>
          <w:szCs w:val="28"/>
        </w:rPr>
        <w:t xml:space="preserve"> = 13 098/22 672 = 57,77 %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= 13 098/6 802 = 192,6 %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 13 098/2 926 = 447,6 %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</w:t>
      </w:r>
      <w:r w:rsidRPr="000128D7">
        <w:rPr>
          <w:color w:val="000000"/>
          <w:sz w:val="28"/>
          <w:szCs w:val="28"/>
          <w:vertAlign w:val="subscript"/>
        </w:rPr>
        <w:t>6</w:t>
      </w:r>
      <w:r w:rsidRPr="000128D7">
        <w:rPr>
          <w:color w:val="000000"/>
          <w:sz w:val="28"/>
          <w:szCs w:val="28"/>
        </w:rPr>
        <w:t xml:space="preserve"> = РА</w:t>
      </w:r>
      <w:r w:rsidRPr="000128D7">
        <w:rPr>
          <w:color w:val="000000"/>
          <w:sz w:val="28"/>
          <w:szCs w:val="28"/>
          <w:vertAlign w:val="subscript"/>
        </w:rPr>
        <w:t>7</w:t>
      </w:r>
      <w:r w:rsidRPr="000128D7">
        <w:rPr>
          <w:color w:val="000000"/>
          <w:sz w:val="28"/>
          <w:szCs w:val="28"/>
        </w:rPr>
        <w:t xml:space="preserve"> = РА</w:t>
      </w:r>
      <w:r w:rsidRPr="000128D7">
        <w:rPr>
          <w:color w:val="000000"/>
          <w:sz w:val="28"/>
          <w:szCs w:val="28"/>
          <w:vertAlign w:val="subscript"/>
        </w:rPr>
        <w:t>8</w:t>
      </w:r>
      <w:r w:rsidRPr="000128D7">
        <w:rPr>
          <w:color w:val="000000"/>
          <w:sz w:val="28"/>
          <w:szCs w:val="28"/>
        </w:rPr>
        <w:t xml:space="preserve"> = РА</w:t>
      </w:r>
      <w:r w:rsidRPr="000128D7">
        <w:rPr>
          <w:color w:val="000000"/>
          <w:sz w:val="28"/>
          <w:szCs w:val="28"/>
          <w:vertAlign w:val="subscript"/>
        </w:rPr>
        <w:t>9</w:t>
      </w:r>
      <w:r w:rsidRPr="000128D7">
        <w:rPr>
          <w:color w:val="000000"/>
          <w:sz w:val="28"/>
          <w:szCs w:val="28"/>
        </w:rPr>
        <w:t xml:space="preserve"> = РА</w:t>
      </w:r>
      <w:r w:rsidRPr="000128D7">
        <w:rPr>
          <w:color w:val="000000"/>
          <w:sz w:val="28"/>
          <w:szCs w:val="28"/>
          <w:vertAlign w:val="subscript"/>
        </w:rPr>
        <w:t>10</w:t>
      </w:r>
      <w:r w:rsidRPr="000128D7">
        <w:rPr>
          <w:color w:val="000000"/>
          <w:sz w:val="28"/>
          <w:szCs w:val="28"/>
        </w:rPr>
        <w:t xml:space="preserve"> = 17 630/2 926 = 602,5 %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РА</w:t>
      </w:r>
      <w:r w:rsidRPr="000128D7">
        <w:rPr>
          <w:color w:val="000000"/>
          <w:sz w:val="28"/>
          <w:szCs w:val="28"/>
          <w:vertAlign w:val="subscript"/>
        </w:rPr>
        <w:t>11</w:t>
      </w:r>
      <w:r w:rsidRPr="000128D7">
        <w:rPr>
          <w:color w:val="000000"/>
          <w:sz w:val="28"/>
          <w:szCs w:val="28"/>
        </w:rPr>
        <w:t xml:space="preserve"> = 3 526/2 128 = 165,7 %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2) рентабельность инвестированного капитала характеризует соотношение объема привлечения в проект средств (собственного капитала и кредитов) и запланированного объема чистой прибыли. Исключение из формулы краткосрочных обязательств позволяет сгладить колебания, связанные с текущей деятельностью: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РИК = ЧП / (СК+К), </w:t>
      </w:r>
      <w:r w:rsidRPr="000128D7">
        <w:rPr>
          <w:color w:val="000000"/>
          <w:sz w:val="28"/>
          <w:szCs w:val="28"/>
        </w:rPr>
        <w:tab/>
        <w:t>(</w:t>
      </w:r>
      <w:r w:rsidR="002E15AD" w:rsidRPr="000128D7">
        <w:rPr>
          <w:color w:val="000000"/>
          <w:sz w:val="28"/>
          <w:szCs w:val="28"/>
        </w:rPr>
        <w:t>6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где СК – размер собственного капитала, направляемого на реализацию проекта; К – привлекаемые в проект кредиты.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РИК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 2 518/70 000 = 3,6 %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РИК</w:t>
      </w:r>
      <w:r w:rsidRPr="000128D7">
        <w:rPr>
          <w:color w:val="000000"/>
          <w:sz w:val="28"/>
          <w:szCs w:val="28"/>
          <w:vertAlign w:val="subscript"/>
        </w:rPr>
        <w:t>3</w:t>
      </w:r>
      <w:r w:rsidRPr="000128D7">
        <w:rPr>
          <w:color w:val="000000"/>
          <w:sz w:val="28"/>
          <w:szCs w:val="28"/>
        </w:rPr>
        <w:t xml:space="preserve"> = 13 098/70 000 = 18,71 %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РИК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= 17 630/70 000 = 25,19 %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РИК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 3 526/70 000 = 5,04 %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РИК = 132 167/70 000 = 188,8 %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3) рентабельность собственного капитала (РСК) позволяет определить эффективность использования капитала, инвестированного собственниками проекта: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РСК = ЧП / СК, </w:t>
      </w:r>
      <w:r w:rsidRPr="000128D7">
        <w:rPr>
          <w:color w:val="000000"/>
          <w:sz w:val="28"/>
          <w:szCs w:val="28"/>
        </w:rPr>
        <w:tab/>
        <w:t>(</w:t>
      </w:r>
      <w:r w:rsidR="002E15AD" w:rsidRPr="000128D7">
        <w:rPr>
          <w:color w:val="000000"/>
          <w:sz w:val="28"/>
          <w:szCs w:val="28"/>
        </w:rPr>
        <w:t>7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РСК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 2 518/50 000 = 5,04 %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РСК</w:t>
      </w:r>
      <w:r w:rsidRPr="000128D7">
        <w:rPr>
          <w:color w:val="000000"/>
          <w:sz w:val="28"/>
          <w:szCs w:val="28"/>
          <w:vertAlign w:val="subscript"/>
        </w:rPr>
        <w:t>3</w:t>
      </w:r>
      <w:r w:rsidRPr="000128D7">
        <w:rPr>
          <w:color w:val="000000"/>
          <w:sz w:val="28"/>
          <w:szCs w:val="28"/>
        </w:rPr>
        <w:t xml:space="preserve"> = 13 098/50 000 = 26,2 %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РСК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= 17 630/50 000 = 35,26 %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РСК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 3 526/50 000 = 7,05 %</w:t>
      </w:r>
    </w:p>
    <w:p w:rsidR="00314270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РСК = 132 161/50 000 = 264,32 %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4) рентабельность продаж (РП) позволяет определить удельный вес чистой прибыли в объеме реализованной продукции: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РП = ЧП / П, </w:t>
      </w:r>
      <w:r w:rsidRPr="000128D7">
        <w:rPr>
          <w:color w:val="000000"/>
          <w:sz w:val="28"/>
          <w:szCs w:val="28"/>
        </w:rPr>
        <w:tab/>
        <w:t>(</w:t>
      </w:r>
      <w:r w:rsidR="002E15AD" w:rsidRPr="000128D7">
        <w:rPr>
          <w:color w:val="000000"/>
          <w:sz w:val="28"/>
          <w:szCs w:val="28"/>
        </w:rPr>
        <w:t>8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где П -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объем продаж.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РП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 2 518/22 223 = 11,33 %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РП</w:t>
      </w:r>
      <w:r w:rsidRPr="000128D7">
        <w:rPr>
          <w:color w:val="000000"/>
          <w:sz w:val="28"/>
          <w:szCs w:val="28"/>
          <w:vertAlign w:val="subscript"/>
        </w:rPr>
        <w:t>3</w:t>
      </w:r>
      <w:r w:rsidRPr="000128D7">
        <w:rPr>
          <w:color w:val="000000"/>
          <w:sz w:val="28"/>
          <w:szCs w:val="28"/>
        </w:rPr>
        <w:t xml:space="preserve"> = 13 098/55 555 = 23,58 %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РП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= 17 630/55 555 = 31,73 %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РП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=3 526/11 112 = 31,73 %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РП =132 161/488 887 = 27,03 %</w:t>
      </w:r>
    </w:p>
    <w:p w:rsidR="00690459" w:rsidRPr="000128D7" w:rsidRDefault="00224806" w:rsidP="00C0613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2. Коэффициенты оборачиваемости характеризуют скорость оборота (т.е. превращены в денежную форму) средств. Чем выше скорость оборота, тем выше платежеспособность проекта и тем более высокий его</w:t>
      </w:r>
      <w:r w:rsidR="00C06131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производственно-технический потенциал.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1) оборачиваемость активов (ОА) характеризует сколько раз за выбранный интервал планирования совершается полный цикл производства и обращения: (по годам)</w:t>
      </w:r>
    </w:p>
    <w:p w:rsidR="00C06131" w:rsidRPr="000128D7" w:rsidRDefault="00C06131">
      <w:pPr>
        <w:rPr>
          <w:rFonts w:ascii="Times New Roman" w:hAnsi="Times New Roman"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br w:type="page"/>
      </w:r>
    </w:p>
    <w:p w:rsidR="00224806" w:rsidRPr="000128D7" w:rsidRDefault="00224806" w:rsidP="00C06131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ОА = П/А, </w:t>
      </w:r>
      <w:r w:rsidRPr="000128D7">
        <w:rPr>
          <w:color w:val="000000"/>
          <w:sz w:val="28"/>
          <w:szCs w:val="28"/>
        </w:rPr>
        <w:tab/>
      </w:r>
      <w:r w:rsidRPr="000128D7">
        <w:rPr>
          <w:color w:val="000000"/>
          <w:sz w:val="28"/>
          <w:szCs w:val="28"/>
        </w:rPr>
        <w:tab/>
        <w:t>(</w:t>
      </w:r>
      <w:r w:rsidR="002E15AD" w:rsidRPr="000128D7">
        <w:rPr>
          <w:color w:val="000000"/>
          <w:sz w:val="28"/>
          <w:szCs w:val="28"/>
        </w:rPr>
        <w:t>9</w:t>
      </w:r>
      <w:r w:rsidRPr="000128D7">
        <w:rPr>
          <w:color w:val="000000"/>
          <w:sz w:val="28"/>
          <w:szCs w:val="28"/>
        </w:rPr>
        <w:t>)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ОА</w:t>
      </w:r>
      <w:r w:rsidRPr="000128D7">
        <w:rPr>
          <w:color w:val="000000"/>
          <w:sz w:val="28"/>
          <w:szCs w:val="28"/>
          <w:vertAlign w:val="subscript"/>
        </w:rPr>
        <w:t>1</w:t>
      </w:r>
      <w:r w:rsidRPr="000128D7">
        <w:rPr>
          <w:color w:val="000000"/>
          <w:sz w:val="28"/>
          <w:szCs w:val="28"/>
        </w:rPr>
        <w:t xml:space="preserve"> = 11 112/42 488 = 0,26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ОА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 22 223/З3 546 = 0,66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ОА</w:t>
      </w:r>
      <w:r w:rsidRPr="000128D7">
        <w:rPr>
          <w:color w:val="000000"/>
          <w:sz w:val="28"/>
          <w:szCs w:val="28"/>
          <w:vertAlign w:val="subscript"/>
        </w:rPr>
        <w:t>3</w:t>
      </w:r>
      <w:r w:rsidRPr="000128D7">
        <w:rPr>
          <w:color w:val="000000"/>
          <w:sz w:val="28"/>
          <w:szCs w:val="28"/>
        </w:rPr>
        <w:t xml:space="preserve"> </w:t>
      </w:r>
      <w:r w:rsidRPr="000128D7">
        <w:rPr>
          <w:iCs/>
          <w:color w:val="000000"/>
          <w:sz w:val="28"/>
          <w:szCs w:val="28"/>
        </w:rPr>
        <w:t>= 55 555/22 672 = 2,45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ОА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</w:t>
      </w:r>
      <w:r w:rsidRPr="000128D7">
        <w:rPr>
          <w:iCs/>
          <w:color w:val="000000"/>
          <w:sz w:val="28"/>
          <w:szCs w:val="28"/>
        </w:rPr>
        <w:t>= 55 555/6 802 = 8,17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ОА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 ОА</w:t>
      </w:r>
      <w:r w:rsidRPr="000128D7">
        <w:rPr>
          <w:color w:val="000000"/>
          <w:sz w:val="28"/>
          <w:szCs w:val="28"/>
          <w:vertAlign w:val="subscript"/>
        </w:rPr>
        <w:t>6</w:t>
      </w:r>
      <w:r w:rsidRPr="000128D7">
        <w:rPr>
          <w:color w:val="000000"/>
          <w:sz w:val="28"/>
          <w:szCs w:val="28"/>
        </w:rPr>
        <w:t xml:space="preserve"> = ОА</w:t>
      </w:r>
      <w:r w:rsidRPr="000128D7">
        <w:rPr>
          <w:color w:val="000000"/>
          <w:sz w:val="28"/>
          <w:szCs w:val="28"/>
          <w:vertAlign w:val="subscript"/>
        </w:rPr>
        <w:t>7</w:t>
      </w:r>
      <w:r w:rsidRPr="000128D7">
        <w:rPr>
          <w:color w:val="000000"/>
          <w:sz w:val="28"/>
          <w:szCs w:val="28"/>
        </w:rPr>
        <w:t xml:space="preserve"> = ОА</w:t>
      </w:r>
      <w:r w:rsidRPr="000128D7">
        <w:rPr>
          <w:color w:val="000000"/>
          <w:sz w:val="28"/>
          <w:szCs w:val="28"/>
          <w:vertAlign w:val="subscript"/>
        </w:rPr>
        <w:t>8</w:t>
      </w:r>
      <w:r w:rsidRPr="000128D7">
        <w:rPr>
          <w:color w:val="000000"/>
          <w:sz w:val="28"/>
          <w:szCs w:val="28"/>
        </w:rPr>
        <w:t xml:space="preserve"> = ОА</w:t>
      </w:r>
      <w:r w:rsidRPr="000128D7">
        <w:rPr>
          <w:color w:val="000000"/>
          <w:sz w:val="28"/>
          <w:szCs w:val="28"/>
          <w:vertAlign w:val="subscript"/>
        </w:rPr>
        <w:t>9</w:t>
      </w:r>
      <w:r w:rsidRPr="000128D7">
        <w:rPr>
          <w:color w:val="000000"/>
          <w:sz w:val="28"/>
          <w:szCs w:val="28"/>
        </w:rPr>
        <w:t xml:space="preserve"> = ОА</w:t>
      </w:r>
      <w:r w:rsidRPr="000128D7">
        <w:rPr>
          <w:color w:val="000000"/>
          <w:sz w:val="28"/>
          <w:szCs w:val="28"/>
          <w:vertAlign w:val="subscript"/>
        </w:rPr>
        <w:t>10</w:t>
      </w:r>
      <w:r w:rsidRPr="000128D7">
        <w:rPr>
          <w:color w:val="000000"/>
          <w:sz w:val="28"/>
          <w:szCs w:val="28"/>
        </w:rPr>
        <w:t xml:space="preserve"> </w:t>
      </w:r>
      <w:r w:rsidRPr="000128D7">
        <w:rPr>
          <w:iCs/>
          <w:color w:val="000000"/>
          <w:sz w:val="28"/>
          <w:szCs w:val="28"/>
        </w:rPr>
        <w:t>= 55 555/2 926 = 18,99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ОА = 48 887/125 249 = 3,9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2) оборачиваемость уставного капитала (ОУК) показывает число оборотов собственного капитала за выбранный интервал планирования: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ОУК = П/СК, </w:t>
      </w:r>
      <w:r w:rsidRPr="000128D7">
        <w:rPr>
          <w:color w:val="000000"/>
          <w:sz w:val="28"/>
          <w:szCs w:val="28"/>
        </w:rPr>
        <w:tab/>
        <w:t>(</w:t>
      </w:r>
      <w:r w:rsidR="002E15AD" w:rsidRPr="000128D7">
        <w:rPr>
          <w:color w:val="000000"/>
          <w:sz w:val="28"/>
          <w:szCs w:val="28"/>
        </w:rPr>
        <w:t>10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ОУК</w:t>
      </w:r>
      <w:r w:rsidRPr="000128D7">
        <w:rPr>
          <w:color w:val="000000"/>
          <w:sz w:val="28"/>
          <w:szCs w:val="28"/>
          <w:vertAlign w:val="subscript"/>
        </w:rPr>
        <w:t>1</w:t>
      </w:r>
      <w:r w:rsidRPr="000128D7">
        <w:rPr>
          <w:color w:val="000000"/>
          <w:sz w:val="28"/>
          <w:szCs w:val="28"/>
        </w:rPr>
        <w:t xml:space="preserve"> = 11 112/50 000 = 0,22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ОУК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 22 223/50 000 = 0,44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ОУК</w:t>
      </w:r>
      <w:r w:rsidRPr="000128D7">
        <w:rPr>
          <w:color w:val="000000"/>
          <w:sz w:val="28"/>
          <w:szCs w:val="28"/>
          <w:vertAlign w:val="subscript"/>
        </w:rPr>
        <w:t>3</w:t>
      </w:r>
      <w:r w:rsidRPr="000128D7">
        <w:rPr>
          <w:color w:val="000000"/>
          <w:sz w:val="28"/>
          <w:szCs w:val="28"/>
        </w:rPr>
        <w:t xml:space="preserve"> = ОУК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</w:t>
      </w:r>
      <w:r w:rsidRPr="000128D7">
        <w:rPr>
          <w:iCs/>
          <w:color w:val="000000"/>
          <w:sz w:val="28"/>
          <w:szCs w:val="28"/>
        </w:rPr>
        <w:t>= 55 555/50 000 = 1,11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ОУК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 11 112/50 000 = 0,22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ОУК = 488 887/50 000 = 9,78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3) оборачиваемость оборотных средств (ООС) характеризует эффективность производства и сбыта продукции проекта с финансовой точки зрения: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ООС = П/ОК, </w:t>
      </w:r>
      <w:r w:rsidRPr="000128D7">
        <w:rPr>
          <w:color w:val="000000"/>
          <w:sz w:val="28"/>
          <w:szCs w:val="28"/>
        </w:rPr>
        <w:tab/>
        <w:t>(</w:t>
      </w:r>
      <w:r w:rsidR="002E15AD" w:rsidRPr="000128D7">
        <w:rPr>
          <w:color w:val="000000"/>
          <w:sz w:val="28"/>
          <w:szCs w:val="28"/>
        </w:rPr>
        <w:t>11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где ОК – оборотный капитал.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ООС</w:t>
      </w:r>
      <w:r w:rsidRPr="000128D7">
        <w:rPr>
          <w:color w:val="000000"/>
          <w:sz w:val="28"/>
          <w:szCs w:val="28"/>
          <w:vertAlign w:val="subscript"/>
        </w:rPr>
        <w:t>1</w:t>
      </w:r>
      <w:r w:rsidRPr="000128D7">
        <w:rPr>
          <w:color w:val="000000"/>
          <w:sz w:val="28"/>
          <w:szCs w:val="28"/>
        </w:rPr>
        <w:t xml:space="preserve"> = ООС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 11 112/2 185 = 5,09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ООС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 22 223/2 370 = 9,38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ООС</w:t>
      </w:r>
      <w:r w:rsidRPr="000128D7">
        <w:rPr>
          <w:color w:val="000000"/>
          <w:sz w:val="28"/>
          <w:szCs w:val="28"/>
          <w:vertAlign w:val="subscript"/>
        </w:rPr>
        <w:t xml:space="preserve">3 </w:t>
      </w:r>
      <w:r w:rsidRPr="000128D7">
        <w:rPr>
          <w:color w:val="000000"/>
          <w:sz w:val="28"/>
          <w:szCs w:val="28"/>
        </w:rPr>
        <w:t>= ООС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= 55 555/2 926 = 18,99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ООС = 488 887/30 148 = 1 622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3. Коэффициенты финансовой устойчивости характеризуют степень защищенности интересов инвесторов и кредиторов, имеющих долгосрочные вложения в проект, и отражают способность предприятия погашать долгосрочную задолженность.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1) коэффициент концентрации собственного капитала (КСК) характеризует долю собственных средств в структуре капитала: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КСК = СК/ПС, </w:t>
      </w:r>
      <w:r w:rsidRPr="000128D7">
        <w:rPr>
          <w:color w:val="000000"/>
          <w:sz w:val="28"/>
          <w:szCs w:val="28"/>
        </w:rPr>
        <w:tab/>
        <w:t>(1</w:t>
      </w:r>
      <w:r w:rsidR="002E15AD" w:rsidRPr="000128D7">
        <w:rPr>
          <w:color w:val="000000"/>
          <w:sz w:val="28"/>
          <w:szCs w:val="28"/>
        </w:rPr>
        <w:t>2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где ПС – размер пассивов.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КСК</w:t>
      </w:r>
      <w:r w:rsidRPr="000128D7">
        <w:rPr>
          <w:color w:val="000000"/>
          <w:sz w:val="28"/>
          <w:szCs w:val="28"/>
          <w:vertAlign w:val="subscript"/>
        </w:rPr>
        <w:t>1</w:t>
      </w:r>
      <w:r w:rsidRPr="000128D7">
        <w:rPr>
          <w:color w:val="000000"/>
          <w:sz w:val="28"/>
          <w:szCs w:val="28"/>
        </w:rPr>
        <w:t xml:space="preserve"> = 50 000/63 481 = 0,79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КСК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 50 000/64 323 = 0,78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КСК</w:t>
      </w:r>
      <w:r w:rsidRPr="000128D7">
        <w:rPr>
          <w:color w:val="000000"/>
          <w:sz w:val="28"/>
          <w:szCs w:val="28"/>
          <w:vertAlign w:val="subscript"/>
        </w:rPr>
        <w:t>3</w:t>
      </w:r>
      <w:r w:rsidRPr="000128D7">
        <w:rPr>
          <w:color w:val="000000"/>
          <w:sz w:val="28"/>
          <w:szCs w:val="28"/>
        </w:rPr>
        <w:t xml:space="preserve"> = 50 000/67 326 = 0,74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КСК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= 50 000/62 075 = 0,81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КСК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 50 000/58 071 = 0,86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КСК = 550 000/698 228 = 0,78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2) коэффициент концентрации заемного капитала (КЭК) указывает на долю заемного капитала в источниках финансирования, рост этого коэффициента указывает на увеличение зависимости от заемного капитала: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КЗК = ЗК/ПС, </w:t>
      </w:r>
      <w:r w:rsidRPr="000128D7">
        <w:rPr>
          <w:color w:val="000000"/>
          <w:sz w:val="28"/>
          <w:szCs w:val="28"/>
        </w:rPr>
        <w:tab/>
        <w:t>(1</w:t>
      </w:r>
      <w:r w:rsidR="002E15AD" w:rsidRPr="000128D7">
        <w:rPr>
          <w:color w:val="000000"/>
          <w:sz w:val="28"/>
          <w:szCs w:val="28"/>
        </w:rPr>
        <w:t>3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где ЭК – заемный капитал на реализацию проекта.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КЗК</w:t>
      </w:r>
      <w:r w:rsidRPr="000128D7">
        <w:rPr>
          <w:color w:val="000000"/>
          <w:sz w:val="28"/>
          <w:szCs w:val="28"/>
          <w:vertAlign w:val="subscript"/>
        </w:rPr>
        <w:t>1</w:t>
      </w:r>
      <w:r w:rsidRPr="000128D7">
        <w:rPr>
          <w:color w:val="000000"/>
          <w:sz w:val="28"/>
          <w:szCs w:val="28"/>
        </w:rPr>
        <w:t xml:space="preserve"> =20 000/63 481 = 0,31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КЗК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=20 000/64 323 = 0,32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КЗК</w:t>
      </w:r>
      <w:r w:rsidRPr="000128D7">
        <w:rPr>
          <w:color w:val="000000"/>
          <w:sz w:val="28"/>
          <w:szCs w:val="28"/>
          <w:vertAlign w:val="subscript"/>
        </w:rPr>
        <w:t>3</w:t>
      </w:r>
      <w:r w:rsidRPr="000128D7">
        <w:rPr>
          <w:color w:val="000000"/>
          <w:sz w:val="28"/>
          <w:szCs w:val="28"/>
        </w:rPr>
        <w:t xml:space="preserve"> =20 000/67 326 = 0,26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КЗК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=20 000/62 075 = 0,19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К3К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=20 000/58 071 = 0,14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КЭК = 220 000/698 228 = 0,32</w:t>
      </w:r>
    </w:p>
    <w:p w:rsidR="001925A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3) коэффициент финансовой зависимости (ФЗ) характеризует зависимость проекта от внешних займов. Чем выше значение этого коэффициента, тем выше риск банкротства предприятия и дефицита денежных средств при реализации проекта: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ФЗ = КЗК/КСК, </w:t>
      </w:r>
      <w:r w:rsidRPr="000128D7">
        <w:rPr>
          <w:color w:val="000000"/>
          <w:sz w:val="28"/>
          <w:szCs w:val="28"/>
        </w:rPr>
        <w:tab/>
      </w:r>
      <w:r w:rsidRPr="000128D7">
        <w:rPr>
          <w:color w:val="000000"/>
          <w:sz w:val="28"/>
          <w:szCs w:val="28"/>
        </w:rPr>
        <w:tab/>
        <w:t>(1</w:t>
      </w:r>
      <w:r w:rsidR="002E15AD" w:rsidRPr="000128D7">
        <w:rPr>
          <w:color w:val="000000"/>
          <w:sz w:val="28"/>
          <w:szCs w:val="28"/>
        </w:rPr>
        <w:t>4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Ф3</w:t>
      </w:r>
      <w:r w:rsidRPr="000128D7">
        <w:rPr>
          <w:color w:val="000000"/>
          <w:sz w:val="28"/>
          <w:szCs w:val="28"/>
          <w:vertAlign w:val="subscript"/>
        </w:rPr>
        <w:t>1</w:t>
      </w:r>
      <w:r w:rsidRPr="000128D7">
        <w:rPr>
          <w:color w:val="000000"/>
          <w:sz w:val="28"/>
          <w:szCs w:val="28"/>
        </w:rPr>
        <w:t xml:space="preserve"> =0,79/0,31 = 2,55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Ф3</w:t>
      </w:r>
      <w:r w:rsidRPr="000128D7">
        <w:rPr>
          <w:color w:val="000000"/>
          <w:sz w:val="28"/>
          <w:szCs w:val="28"/>
          <w:vertAlign w:val="subscript"/>
        </w:rPr>
        <w:t>2</w:t>
      </w:r>
      <w:r w:rsidRPr="000128D7">
        <w:rPr>
          <w:color w:val="000000"/>
          <w:sz w:val="28"/>
          <w:szCs w:val="28"/>
        </w:rPr>
        <w:t xml:space="preserve"> =0,78/0,32 = 2,44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Ф3</w:t>
      </w:r>
      <w:r w:rsidRPr="000128D7">
        <w:rPr>
          <w:color w:val="000000"/>
          <w:sz w:val="28"/>
          <w:szCs w:val="28"/>
          <w:vertAlign w:val="subscript"/>
        </w:rPr>
        <w:t>3</w:t>
      </w:r>
      <w:r w:rsidRPr="000128D7">
        <w:rPr>
          <w:color w:val="000000"/>
          <w:sz w:val="28"/>
          <w:szCs w:val="28"/>
        </w:rPr>
        <w:t xml:space="preserve"> =0,74/0,26 = 2,85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Ф3</w:t>
      </w:r>
      <w:r w:rsidRPr="000128D7">
        <w:rPr>
          <w:color w:val="000000"/>
          <w:sz w:val="28"/>
          <w:szCs w:val="28"/>
          <w:vertAlign w:val="subscript"/>
        </w:rPr>
        <w:t>4</w:t>
      </w:r>
      <w:r w:rsidRPr="000128D7">
        <w:rPr>
          <w:color w:val="000000"/>
          <w:sz w:val="28"/>
          <w:szCs w:val="28"/>
        </w:rPr>
        <w:t xml:space="preserve"> =0,81/0,19 = 4,26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Ф3</w:t>
      </w:r>
      <w:r w:rsidRPr="000128D7">
        <w:rPr>
          <w:color w:val="000000"/>
          <w:sz w:val="28"/>
          <w:szCs w:val="28"/>
          <w:vertAlign w:val="subscript"/>
        </w:rPr>
        <w:t>5</w:t>
      </w:r>
      <w:r w:rsidRPr="000128D7">
        <w:rPr>
          <w:color w:val="000000"/>
          <w:sz w:val="28"/>
          <w:szCs w:val="28"/>
        </w:rPr>
        <w:t xml:space="preserve"> =0,86/0,14 = 6,14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ФЗ = 0,78/0,32 = 2,4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925A6" w:rsidRPr="000128D7" w:rsidRDefault="00FA5B4D" w:rsidP="00690459">
      <w:pPr>
        <w:pStyle w:val="a4"/>
        <w:numPr>
          <w:ilvl w:val="1"/>
          <w:numId w:val="18"/>
        </w:numPr>
        <w:shd w:val="clear" w:color="000000" w:fill="auto"/>
        <w:suppressAutoHyphens/>
        <w:spacing w:before="0" w:beforeAutospacing="0" w:after="0" w:afterAutospacing="0"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0128D7">
        <w:rPr>
          <w:b/>
          <w:color w:val="000000"/>
          <w:sz w:val="28"/>
          <w:szCs w:val="28"/>
        </w:rPr>
        <w:t>Показатели оценки эффективности проекта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Система показателей оценки эффективности проекта характеризует предстоящие затраты и результаты, приводитс</w:t>
      </w:r>
      <w:r w:rsidR="00314270" w:rsidRPr="000128D7">
        <w:rPr>
          <w:color w:val="000000"/>
          <w:sz w:val="28"/>
          <w:szCs w:val="28"/>
        </w:rPr>
        <w:t>я в пределах расчетного периода. Д</w:t>
      </w:r>
      <w:r w:rsidRPr="000128D7">
        <w:rPr>
          <w:color w:val="000000"/>
          <w:sz w:val="28"/>
          <w:szCs w:val="28"/>
        </w:rPr>
        <w:t>ля приведения разновременных затрат и результатов осуществляется их приведение с помощью нормы дисконта Е, равной приемлемой для инвесторов норме дохода на капитал (Е15%).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1. Чистый дисконтированный доход (ЧДД) – превышение интегральных результатов над интегральными затратами. Если ЧДД инвестиционного проекта положителен, то проект является эффективным при данной норме дисконта. Чем больше ЧДД тем эффективнее проект.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06399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ЧДД = (</w:t>
      </w:r>
      <w:r w:rsidRPr="000128D7">
        <w:rPr>
          <w:color w:val="000000"/>
          <w:sz w:val="28"/>
          <w:szCs w:val="28"/>
          <w:lang w:val="en-US"/>
        </w:rPr>
        <w:t>Rt</w:t>
      </w:r>
      <w:r w:rsidRPr="000128D7">
        <w:rPr>
          <w:color w:val="000000"/>
          <w:sz w:val="28"/>
          <w:szCs w:val="28"/>
        </w:rPr>
        <w:t>-З</w:t>
      </w:r>
      <w:r w:rsidRPr="000128D7">
        <w:rPr>
          <w:color w:val="000000"/>
          <w:sz w:val="28"/>
          <w:szCs w:val="28"/>
          <w:lang w:val="en-US"/>
        </w:rPr>
        <w:t>t</w:t>
      </w:r>
      <w:r w:rsidRPr="000128D7">
        <w:rPr>
          <w:color w:val="000000"/>
          <w:sz w:val="28"/>
          <w:szCs w:val="28"/>
        </w:rPr>
        <w:t>)/(1+Е)</w:t>
      </w:r>
      <w:r w:rsidRPr="000128D7">
        <w:rPr>
          <w:color w:val="000000"/>
          <w:sz w:val="28"/>
          <w:szCs w:val="28"/>
          <w:vertAlign w:val="superscript"/>
        </w:rPr>
        <w:t>Т</w:t>
      </w:r>
      <w:r w:rsidR="00690459" w:rsidRPr="000128D7">
        <w:rPr>
          <w:color w:val="000000"/>
          <w:sz w:val="28"/>
          <w:szCs w:val="28"/>
          <w:vertAlign w:val="superscript"/>
        </w:rPr>
        <w:t xml:space="preserve"> </w:t>
      </w:r>
      <w:r w:rsidR="002E15AD" w:rsidRPr="000128D7">
        <w:rPr>
          <w:color w:val="000000"/>
          <w:sz w:val="28"/>
          <w:szCs w:val="28"/>
        </w:rPr>
        <w:t>(15)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где </w:t>
      </w:r>
      <w:r w:rsidRPr="000128D7">
        <w:rPr>
          <w:color w:val="000000"/>
          <w:sz w:val="28"/>
          <w:szCs w:val="28"/>
          <w:lang w:val="en-US"/>
        </w:rPr>
        <w:t>Rt</w:t>
      </w:r>
      <w:r w:rsidRPr="000128D7">
        <w:rPr>
          <w:color w:val="000000"/>
          <w:sz w:val="28"/>
          <w:szCs w:val="28"/>
        </w:rPr>
        <w:t xml:space="preserve"> – результаты, достигаемые на </w:t>
      </w:r>
      <w:r w:rsidRPr="000128D7">
        <w:rPr>
          <w:color w:val="000000"/>
          <w:sz w:val="28"/>
          <w:szCs w:val="28"/>
          <w:lang w:val="en-US"/>
        </w:rPr>
        <w:t>t</w:t>
      </w:r>
      <w:r w:rsidRPr="000128D7">
        <w:rPr>
          <w:color w:val="000000"/>
          <w:sz w:val="28"/>
          <w:szCs w:val="28"/>
        </w:rPr>
        <w:t>-м шаге расчета;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З</w:t>
      </w:r>
      <w:r w:rsidRPr="000128D7">
        <w:rPr>
          <w:color w:val="000000"/>
          <w:sz w:val="28"/>
          <w:szCs w:val="28"/>
          <w:lang w:val="en-US"/>
        </w:rPr>
        <w:t>t</w:t>
      </w:r>
      <w:r w:rsidRPr="000128D7">
        <w:rPr>
          <w:color w:val="000000"/>
          <w:sz w:val="28"/>
          <w:szCs w:val="28"/>
        </w:rPr>
        <w:t xml:space="preserve"> – затраты, осуществляемые на том же шаге;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Т – горизонт расчета;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  <w:lang w:val="en-US"/>
        </w:rPr>
        <w:t>t</w:t>
      </w:r>
      <w:r w:rsidRPr="000128D7">
        <w:rPr>
          <w:color w:val="000000"/>
          <w:sz w:val="28"/>
          <w:szCs w:val="28"/>
        </w:rPr>
        <w:t xml:space="preserve"> – номер шага расчета (</w:t>
      </w:r>
      <w:r w:rsidRPr="000128D7">
        <w:rPr>
          <w:color w:val="000000"/>
          <w:sz w:val="28"/>
          <w:szCs w:val="28"/>
          <w:lang w:val="en-US"/>
        </w:rPr>
        <w:t>t</w:t>
      </w:r>
      <w:r w:rsidRPr="000128D7">
        <w:rPr>
          <w:color w:val="000000"/>
          <w:sz w:val="28"/>
          <w:szCs w:val="28"/>
        </w:rPr>
        <w:t xml:space="preserve">=0,1,2. . .Т); </w:t>
      </w:r>
      <w:r w:rsidRPr="000128D7">
        <w:rPr>
          <w:color w:val="000000"/>
          <w:sz w:val="28"/>
          <w:szCs w:val="28"/>
          <w:lang w:val="en-US"/>
        </w:rPr>
        <w:t>t</w:t>
      </w:r>
      <w:r w:rsidRPr="000128D7">
        <w:rPr>
          <w:color w:val="000000"/>
          <w:sz w:val="28"/>
          <w:szCs w:val="28"/>
        </w:rPr>
        <w:t xml:space="preserve"> = 10.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ЧДД= (521 717 - 85 184) / (1 + 0,15) = 107 904,29 тыс. руб.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2. Индекс доходности (ИД) представляет собой отношение суммы приведенных эффектов к величине капитальных вложений.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24806" w:rsidRPr="000128D7" w:rsidRDefault="0006399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128D7">
        <w:rPr>
          <w:bCs/>
          <w:color w:val="000000"/>
          <w:sz w:val="28"/>
          <w:szCs w:val="28"/>
        </w:rPr>
        <w:t>ИД = 1/К</w:t>
      </w:r>
      <w:r w:rsidRPr="000128D7">
        <w:rPr>
          <w:bCs/>
          <w:color w:val="000000"/>
          <w:sz w:val="28"/>
          <w:szCs w:val="28"/>
          <w:vertAlign w:val="superscript"/>
        </w:rPr>
        <w:t xml:space="preserve">* </w:t>
      </w:r>
      <w:r w:rsidRPr="000128D7">
        <w:rPr>
          <w:bCs/>
          <w:color w:val="000000"/>
          <w:sz w:val="28"/>
          <w:szCs w:val="28"/>
        </w:rPr>
        <w:t>= (П</w:t>
      </w:r>
      <w:r w:rsidRPr="000128D7">
        <w:rPr>
          <w:bCs/>
          <w:color w:val="000000"/>
          <w:sz w:val="28"/>
          <w:szCs w:val="28"/>
          <w:vertAlign w:val="superscript"/>
          <w:lang w:val="en-US"/>
        </w:rPr>
        <w:t>t</w:t>
      </w:r>
      <w:r w:rsidRPr="000128D7">
        <w:rPr>
          <w:bCs/>
          <w:color w:val="000000"/>
          <w:sz w:val="28"/>
          <w:szCs w:val="28"/>
          <w:vertAlign w:val="superscript"/>
        </w:rPr>
        <w:t xml:space="preserve"> </w:t>
      </w:r>
      <w:r w:rsidRPr="000128D7">
        <w:rPr>
          <w:bCs/>
          <w:color w:val="000000"/>
          <w:sz w:val="28"/>
          <w:szCs w:val="28"/>
        </w:rPr>
        <w:t>-О</w:t>
      </w:r>
      <w:r w:rsidRPr="000128D7">
        <w:rPr>
          <w:bCs/>
          <w:color w:val="000000"/>
          <w:sz w:val="28"/>
          <w:szCs w:val="28"/>
          <w:vertAlign w:val="superscript"/>
          <w:lang w:val="en-US"/>
        </w:rPr>
        <w:t>t</w:t>
      </w:r>
      <w:r w:rsidRPr="000128D7">
        <w:rPr>
          <w:bCs/>
          <w:color w:val="000000"/>
          <w:sz w:val="28"/>
          <w:szCs w:val="28"/>
        </w:rPr>
        <w:t>)/(1+0,2)</w:t>
      </w:r>
      <w:r w:rsidRPr="000128D7">
        <w:rPr>
          <w:bCs/>
          <w:color w:val="000000"/>
          <w:sz w:val="28"/>
          <w:szCs w:val="28"/>
          <w:vertAlign w:val="superscript"/>
        </w:rPr>
        <w:t>Т</w:t>
      </w:r>
      <w:r w:rsidR="00690459" w:rsidRPr="000128D7">
        <w:rPr>
          <w:bCs/>
          <w:color w:val="000000"/>
          <w:sz w:val="28"/>
          <w:szCs w:val="28"/>
          <w:vertAlign w:val="superscript"/>
        </w:rPr>
        <w:t xml:space="preserve"> </w:t>
      </w:r>
      <w:r w:rsidR="002E15AD" w:rsidRPr="000128D7">
        <w:rPr>
          <w:bCs/>
          <w:color w:val="000000"/>
          <w:sz w:val="28"/>
          <w:szCs w:val="28"/>
        </w:rPr>
        <w:t>(16)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63991" w:rsidRPr="000128D7" w:rsidRDefault="00063991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128D7">
        <w:rPr>
          <w:bCs/>
          <w:color w:val="000000"/>
          <w:sz w:val="28"/>
          <w:szCs w:val="28"/>
        </w:rPr>
        <w:t>где К – капитальные вложения.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К* = 20 000 / (1 + 0,15)</w:t>
      </w:r>
      <w:r w:rsidRPr="000128D7">
        <w:rPr>
          <w:color w:val="000000"/>
          <w:sz w:val="28"/>
          <w:szCs w:val="28"/>
          <w:vertAlign w:val="superscript"/>
        </w:rPr>
        <w:t xml:space="preserve">10 </w:t>
      </w:r>
      <w:r w:rsidRPr="000128D7">
        <w:rPr>
          <w:color w:val="000000"/>
          <w:sz w:val="28"/>
          <w:szCs w:val="28"/>
        </w:rPr>
        <w:t>= 4 943,7 тыс. руб.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ИД = 1/4943,7* 107 904,29 = 21,8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З. В ряде случаев подлежит расчету показатель рентабельности инвестиций (РИ), показывающий сколько денежных единиц чистого дохода принесет (с учетом дисконтирования) одна денежная единица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инвестированная в проект: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РИ = ЧДД/К,</w:t>
      </w:r>
      <w:r w:rsidRPr="000128D7">
        <w:rPr>
          <w:color w:val="000000"/>
          <w:sz w:val="28"/>
          <w:szCs w:val="28"/>
        </w:rPr>
        <w:tab/>
        <w:t>(1</w:t>
      </w:r>
      <w:r w:rsidR="002E15AD" w:rsidRPr="000128D7">
        <w:rPr>
          <w:color w:val="000000"/>
          <w:sz w:val="28"/>
          <w:szCs w:val="28"/>
        </w:rPr>
        <w:t>7</w:t>
      </w:r>
      <w:r w:rsidRPr="000128D7">
        <w:rPr>
          <w:color w:val="000000"/>
          <w:sz w:val="28"/>
          <w:szCs w:val="28"/>
        </w:rPr>
        <w:t>)</w:t>
      </w:r>
    </w:p>
    <w:p w:rsidR="00690459" w:rsidRPr="000128D7" w:rsidRDefault="00690459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РИ = 107 904,29/20 000 = 5,4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4. Срок окупаемости (Ток) – период (измеряемый в месяцах, кварталах или годах), начиная с которого первоначальные вложения и другие затраты, связанные с инвестиционным проектом, покрываются суммарными результатами его осуществления. Ток определяется отношением капитальных вложений (налоги, себестоимость, выплаты по кредиту, прочие затраты) к чистой прибыли.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Ток = (284 751 + 29 835 + 13 200) / 132 161 = 2,5 года</w:t>
      </w:r>
    </w:p>
    <w:p w:rsidR="00690459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Ток* = 2,5 / (1+0,15)</w:t>
      </w:r>
      <w:r w:rsidRPr="000128D7">
        <w:rPr>
          <w:color w:val="000000"/>
          <w:sz w:val="28"/>
          <w:szCs w:val="28"/>
          <w:vertAlign w:val="superscript"/>
        </w:rPr>
        <w:t>10</w:t>
      </w:r>
      <w:r w:rsidRPr="000128D7">
        <w:rPr>
          <w:color w:val="000000"/>
          <w:sz w:val="28"/>
          <w:szCs w:val="28"/>
        </w:rPr>
        <w:t xml:space="preserve"> = 0,6 года - срок окупаемости с дисконтированием.</w:t>
      </w:r>
    </w:p>
    <w:p w:rsidR="00224806" w:rsidRPr="000128D7" w:rsidRDefault="00224806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806" w:rsidRPr="000128D7" w:rsidRDefault="00690459" w:rsidP="00690459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br w:type="page"/>
      </w:r>
      <w:r w:rsidR="00DE6A6A" w:rsidRPr="000128D7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DE6A6A" w:rsidRPr="000128D7" w:rsidRDefault="00DE6A6A" w:rsidP="00690459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9016A" w:rsidRPr="000128D7" w:rsidRDefault="00C9016A" w:rsidP="00690459">
      <w:pPr>
        <w:pStyle w:val="Style7"/>
        <w:widowControl/>
        <w:numPr>
          <w:ilvl w:val="0"/>
          <w:numId w:val="11"/>
        </w:numPr>
        <w:shd w:val="clear" w:color="000000" w:fill="auto"/>
        <w:tabs>
          <w:tab w:val="left" w:pos="426"/>
          <w:tab w:val="left" w:pos="1229"/>
        </w:tabs>
        <w:suppressAutoHyphens/>
        <w:spacing w:line="360" w:lineRule="auto"/>
        <w:ind w:left="0" w:firstLine="0"/>
        <w:rPr>
          <w:rStyle w:val="FontStyle13"/>
          <w:rFonts w:ascii="Times New Roman" w:hAnsi="Times New Roman" w:cs="Times New Roman"/>
          <w:i w:val="0"/>
          <w:color w:val="000000"/>
          <w:spacing w:val="0"/>
        </w:rPr>
      </w:pPr>
      <w:r w:rsidRPr="000128D7">
        <w:rPr>
          <w:rStyle w:val="FontStyle13"/>
          <w:rFonts w:ascii="Times New Roman" w:hAnsi="Times New Roman" w:cs="Times New Roman"/>
          <w:i w:val="0"/>
          <w:color w:val="000000"/>
          <w:spacing w:val="0"/>
        </w:rPr>
        <w:t>Веселевич, В.И., Лихтерман, С.С., Ревазов, М.А. Планирование на горном предприятии. М.: Издательство «Горная книга», 2005.</w:t>
      </w:r>
    </w:p>
    <w:p w:rsidR="00C9016A" w:rsidRPr="000128D7" w:rsidRDefault="00C9016A" w:rsidP="00690459">
      <w:pPr>
        <w:pStyle w:val="Style7"/>
        <w:widowControl/>
        <w:numPr>
          <w:ilvl w:val="0"/>
          <w:numId w:val="11"/>
        </w:numPr>
        <w:shd w:val="clear" w:color="000000" w:fill="auto"/>
        <w:tabs>
          <w:tab w:val="left" w:pos="426"/>
          <w:tab w:val="left" w:pos="1229"/>
        </w:tabs>
        <w:suppressAutoHyphens/>
        <w:spacing w:line="360" w:lineRule="auto"/>
        <w:ind w:left="0" w:firstLine="0"/>
        <w:rPr>
          <w:rStyle w:val="FontStyle13"/>
          <w:rFonts w:ascii="Times New Roman" w:hAnsi="Times New Roman" w:cs="Times New Roman"/>
          <w:b/>
          <w:i w:val="0"/>
          <w:color w:val="000000"/>
          <w:spacing w:val="0"/>
        </w:rPr>
      </w:pPr>
      <w:r w:rsidRPr="000128D7">
        <w:rPr>
          <w:rStyle w:val="FontStyle13"/>
          <w:rFonts w:ascii="Times New Roman" w:hAnsi="Times New Roman" w:cs="Times New Roman"/>
          <w:i w:val="0"/>
          <w:color w:val="000000"/>
          <w:spacing w:val="0"/>
        </w:rPr>
        <w:t>Лобанов, Н.Я. Организация, планирование и управление производством в горной промышленности. М.: Недра, 2003.</w:t>
      </w:r>
    </w:p>
    <w:p w:rsidR="00C9016A" w:rsidRPr="000128D7" w:rsidRDefault="00C9016A" w:rsidP="00690459">
      <w:pPr>
        <w:pStyle w:val="Style7"/>
        <w:widowControl/>
        <w:numPr>
          <w:ilvl w:val="0"/>
          <w:numId w:val="11"/>
        </w:numPr>
        <w:shd w:val="clear" w:color="000000" w:fill="auto"/>
        <w:tabs>
          <w:tab w:val="left" w:pos="426"/>
          <w:tab w:val="left" w:pos="1229"/>
        </w:tabs>
        <w:suppressAutoHyphens/>
        <w:spacing w:line="360" w:lineRule="auto"/>
        <w:ind w:left="0" w:firstLine="0"/>
        <w:rPr>
          <w:b/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Глотов В.В. Методические указания. Планирование на предприятиях Чита,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ЧГУ,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1999.</w:t>
      </w:r>
    </w:p>
    <w:p w:rsidR="00C9016A" w:rsidRPr="000128D7" w:rsidRDefault="00C9016A" w:rsidP="00690459">
      <w:pPr>
        <w:pStyle w:val="Style7"/>
        <w:widowControl/>
        <w:numPr>
          <w:ilvl w:val="0"/>
          <w:numId w:val="11"/>
        </w:numPr>
        <w:shd w:val="clear" w:color="000000" w:fill="auto"/>
        <w:tabs>
          <w:tab w:val="left" w:pos="426"/>
          <w:tab w:val="left" w:pos="1229"/>
        </w:tabs>
        <w:suppressAutoHyphens/>
        <w:spacing w:line="360" w:lineRule="auto"/>
        <w:ind w:left="0" w:firstLine="0"/>
        <w:rPr>
          <w:b/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>Глотов В.В., Михайленко Н.Н., Афонин Б.А., Цыплина Л.П., Ирназаров Р.Д Методические указания. Экономика и управление на предприятиях горной промышленности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и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геологоразведки. Чита, ЧГУ,</w:t>
      </w:r>
      <w:r w:rsidR="00690459" w:rsidRPr="000128D7">
        <w:rPr>
          <w:color w:val="000000"/>
          <w:sz w:val="28"/>
          <w:szCs w:val="28"/>
        </w:rPr>
        <w:t xml:space="preserve"> </w:t>
      </w:r>
      <w:r w:rsidRPr="000128D7">
        <w:rPr>
          <w:color w:val="000000"/>
          <w:sz w:val="28"/>
          <w:szCs w:val="28"/>
        </w:rPr>
        <w:t>2001.</w:t>
      </w:r>
    </w:p>
    <w:p w:rsidR="00C9016A" w:rsidRPr="000128D7" w:rsidRDefault="00C9016A" w:rsidP="00690459">
      <w:pPr>
        <w:pStyle w:val="Style7"/>
        <w:widowControl/>
        <w:numPr>
          <w:ilvl w:val="0"/>
          <w:numId w:val="11"/>
        </w:numPr>
        <w:shd w:val="clear" w:color="000000" w:fill="auto"/>
        <w:tabs>
          <w:tab w:val="left" w:pos="426"/>
          <w:tab w:val="left" w:pos="1229"/>
        </w:tabs>
        <w:suppressAutoHyphens/>
        <w:spacing w:line="360" w:lineRule="auto"/>
        <w:ind w:left="0" w:firstLine="0"/>
        <w:rPr>
          <w:rStyle w:val="FontStyle13"/>
          <w:rFonts w:ascii="Times New Roman" w:hAnsi="Times New Roman" w:cs="Times New Roman"/>
          <w:b/>
          <w:i w:val="0"/>
          <w:color w:val="000000"/>
          <w:spacing w:val="0"/>
        </w:rPr>
      </w:pPr>
      <w:r w:rsidRPr="000128D7">
        <w:rPr>
          <w:rStyle w:val="FontStyle13"/>
          <w:rFonts w:ascii="Times New Roman" w:hAnsi="Times New Roman" w:cs="Times New Roman"/>
          <w:i w:val="0"/>
          <w:color w:val="000000"/>
          <w:spacing w:val="0"/>
        </w:rPr>
        <w:t>Попов, В.М. и др. Бизнес-планирование: Учебник. - М.: Финансы и статистика, 2002.</w:t>
      </w:r>
    </w:p>
    <w:p w:rsidR="00DE6A6A" w:rsidRPr="000128D7" w:rsidRDefault="00DE6A6A" w:rsidP="00690459">
      <w:pPr>
        <w:pStyle w:val="Style7"/>
        <w:widowControl/>
        <w:numPr>
          <w:ilvl w:val="0"/>
          <w:numId w:val="11"/>
        </w:numPr>
        <w:shd w:val="clear" w:color="000000" w:fill="auto"/>
        <w:tabs>
          <w:tab w:val="left" w:pos="426"/>
          <w:tab w:val="left" w:pos="1229"/>
        </w:tabs>
        <w:suppressAutoHyphens/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0128D7">
        <w:rPr>
          <w:color w:val="000000"/>
          <w:sz w:val="28"/>
          <w:szCs w:val="28"/>
        </w:rPr>
        <w:t xml:space="preserve">Состояние работ на рудниках ОАО ППГХО, актуальные проблемы повышения эффективности работы и развития сырьевой базы. </w:t>
      </w:r>
      <w:smartTag w:uri="urn:schemas-microsoft-com:office:smarttags" w:element="metricconverter">
        <w:smartTagPr>
          <w:attr w:name="ProductID" w:val="2005 г"/>
        </w:smartTagPr>
        <w:r w:rsidRPr="000128D7">
          <w:rPr>
            <w:color w:val="000000"/>
            <w:sz w:val="28"/>
            <w:szCs w:val="28"/>
          </w:rPr>
          <w:t>2005 г</w:t>
        </w:r>
      </w:smartTag>
      <w:r w:rsidRPr="000128D7">
        <w:rPr>
          <w:color w:val="000000"/>
          <w:sz w:val="28"/>
          <w:szCs w:val="28"/>
        </w:rPr>
        <w:t>.</w:t>
      </w:r>
    </w:p>
    <w:p w:rsidR="00644E7F" w:rsidRPr="000128D7" w:rsidRDefault="00644E7F" w:rsidP="00690459">
      <w:pPr>
        <w:pStyle w:val="Style7"/>
        <w:widowControl/>
        <w:numPr>
          <w:ilvl w:val="0"/>
          <w:numId w:val="11"/>
        </w:numPr>
        <w:shd w:val="clear" w:color="000000" w:fill="auto"/>
        <w:tabs>
          <w:tab w:val="left" w:pos="426"/>
          <w:tab w:val="left" w:pos="1229"/>
        </w:tabs>
        <w:suppressAutoHyphens/>
        <w:spacing w:line="360" w:lineRule="auto"/>
        <w:ind w:left="0" w:firstLine="0"/>
        <w:rPr>
          <w:rStyle w:val="FontStyle13"/>
          <w:rFonts w:ascii="Times New Roman" w:hAnsi="Times New Roman" w:cs="Times New Roman"/>
          <w:b/>
          <w:i w:val="0"/>
          <w:color w:val="000000"/>
          <w:spacing w:val="0"/>
        </w:rPr>
      </w:pPr>
      <w:r w:rsidRPr="000128D7">
        <w:rPr>
          <w:rStyle w:val="FontStyle13"/>
          <w:rFonts w:ascii="Times New Roman" w:hAnsi="Times New Roman" w:cs="Times New Roman"/>
          <w:i w:val="0"/>
          <w:color w:val="000000"/>
          <w:spacing w:val="0"/>
        </w:rPr>
        <w:t>Черняк, В.З. Бизнес — планирование. РДЛ. Москва. 2000.</w:t>
      </w:r>
      <w:bookmarkStart w:id="6" w:name="_GoBack"/>
      <w:bookmarkEnd w:id="6"/>
    </w:p>
    <w:sectPr w:rsidR="00644E7F" w:rsidRPr="000128D7" w:rsidSect="00690459">
      <w:pgSz w:w="11906" w:h="16838"/>
      <w:pgMar w:top="1134" w:right="850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FF" w:rsidRDefault="00AC19FF" w:rsidP="00025C67">
      <w:pPr>
        <w:spacing w:after="0" w:line="240" w:lineRule="auto"/>
      </w:pPr>
      <w:r>
        <w:separator/>
      </w:r>
    </w:p>
  </w:endnote>
  <w:endnote w:type="continuationSeparator" w:id="0">
    <w:p w:rsidR="00AC19FF" w:rsidRDefault="00AC19FF" w:rsidP="00025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FF" w:rsidRDefault="00AC19FF" w:rsidP="00025C67">
      <w:pPr>
        <w:spacing w:after="0" w:line="240" w:lineRule="auto"/>
      </w:pPr>
      <w:r>
        <w:separator/>
      </w:r>
    </w:p>
  </w:footnote>
  <w:footnote w:type="continuationSeparator" w:id="0">
    <w:p w:rsidR="00AC19FF" w:rsidRDefault="00AC19FF" w:rsidP="00025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9E1"/>
    <w:multiLevelType w:val="hybridMultilevel"/>
    <w:tmpl w:val="56789B6A"/>
    <w:lvl w:ilvl="0" w:tplc="7EC85B84">
      <w:start w:val="4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131DD7"/>
    <w:multiLevelType w:val="multilevel"/>
    <w:tmpl w:val="0D0E507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9CC6103"/>
    <w:multiLevelType w:val="hybridMultilevel"/>
    <w:tmpl w:val="06A2CB82"/>
    <w:lvl w:ilvl="0" w:tplc="7AD4A55C">
      <w:start w:val="1"/>
      <w:numFmt w:val="bullet"/>
      <w:lvlText w:val=""/>
      <w:lvlJc w:val="left"/>
      <w:pPr>
        <w:tabs>
          <w:tab w:val="num" w:pos="1145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3F642EE"/>
    <w:multiLevelType w:val="hybridMultilevel"/>
    <w:tmpl w:val="EB36FFC2"/>
    <w:lvl w:ilvl="0" w:tplc="7AD4A55C">
      <w:start w:val="1"/>
      <w:numFmt w:val="bullet"/>
      <w:lvlText w:val=""/>
      <w:lvlJc w:val="left"/>
      <w:pPr>
        <w:tabs>
          <w:tab w:val="num" w:pos="436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66662"/>
    <w:multiLevelType w:val="hybridMultilevel"/>
    <w:tmpl w:val="02F6018E"/>
    <w:lvl w:ilvl="0" w:tplc="AB4030F8">
      <w:start w:val="1"/>
      <w:numFmt w:val="decimal"/>
      <w:lvlText w:val="%1."/>
      <w:lvlJc w:val="left"/>
      <w:pPr>
        <w:ind w:left="1744" w:hanging="1035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EA07C60"/>
    <w:multiLevelType w:val="multilevel"/>
    <w:tmpl w:val="BE7E890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34A67D88"/>
    <w:multiLevelType w:val="hybridMultilevel"/>
    <w:tmpl w:val="5686BB4A"/>
    <w:lvl w:ilvl="0" w:tplc="7AD4A55C">
      <w:start w:val="1"/>
      <w:numFmt w:val="bullet"/>
      <w:lvlText w:val=""/>
      <w:lvlJc w:val="left"/>
      <w:pPr>
        <w:tabs>
          <w:tab w:val="num" w:pos="1145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3C7A45"/>
    <w:multiLevelType w:val="multilevel"/>
    <w:tmpl w:val="E75083A0"/>
    <w:lvl w:ilvl="0">
      <w:start w:val="8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3F782EF9"/>
    <w:multiLevelType w:val="hybridMultilevel"/>
    <w:tmpl w:val="7B1AFF54"/>
    <w:lvl w:ilvl="0" w:tplc="7AD4A55C">
      <w:start w:val="1"/>
      <w:numFmt w:val="bullet"/>
      <w:lvlText w:val=""/>
      <w:lvlJc w:val="left"/>
      <w:pPr>
        <w:tabs>
          <w:tab w:val="num" w:pos="436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A95065"/>
    <w:multiLevelType w:val="multilevel"/>
    <w:tmpl w:val="DA36C78A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552D600C"/>
    <w:multiLevelType w:val="hybridMultilevel"/>
    <w:tmpl w:val="0A801956"/>
    <w:lvl w:ilvl="0" w:tplc="ABCE86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66F1C54"/>
    <w:multiLevelType w:val="hybridMultilevel"/>
    <w:tmpl w:val="D2A45D84"/>
    <w:lvl w:ilvl="0" w:tplc="7AD4A55C">
      <w:start w:val="1"/>
      <w:numFmt w:val="bullet"/>
      <w:lvlText w:val=""/>
      <w:lvlJc w:val="left"/>
      <w:pPr>
        <w:tabs>
          <w:tab w:val="num" w:pos="436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756943"/>
    <w:multiLevelType w:val="hybridMultilevel"/>
    <w:tmpl w:val="ED5EB6D0"/>
    <w:lvl w:ilvl="0" w:tplc="7AD4A55C">
      <w:start w:val="1"/>
      <w:numFmt w:val="bullet"/>
      <w:lvlText w:val=""/>
      <w:lvlJc w:val="left"/>
      <w:pPr>
        <w:tabs>
          <w:tab w:val="num" w:pos="436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836D79"/>
    <w:multiLevelType w:val="hybridMultilevel"/>
    <w:tmpl w:val="263C4B08"/>
    <w:lvl w:ilvl="0" w:tplc="0419000D">
      <w:start w:val="1"/>
      <w:numFmt w:val="bullet"/>
      <w:lvlText w:val=""/>
      <w:lvlJc w:val="left"/>
      <w:pPr>
        <w:tabs>
          <w:tab w:val="num" w:pos="436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267734"/>
    <w:multiLevelType w:val="hybridMultilevel"/>
    <w:tmpl w:val="0BA65AD4"/>
    <w:lvl w:ilvl="0" w:tplc="EA1A6DD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FC12C7"/>
    <w:multiLevelType w:val="multilevel"/>
    <w:tmpl w:val="253491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6">
    <w:nsid w:val="65CC13A0"/>
    <w:multiLevelType w:val="hybridMultilevel"/>
    <w:tmpl w:val="39E45480"/>
    <w:lvl w:ilvl="0" w:tplc="7AD4A55C">
      <w:start w:val="1"/>
      <w:numFmt w:val="bullet"/>
      <w:lvlText w:val=""/>
      <w:lvlJc w:val="left"/>
      <w:pPr>
        <w:tabs>
          <w:tab w:val="num" w:pos="1145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71B33FE"/>
    <w:multiLevelType w:val="hybridMultilevel"/>
    <w:tmpl w:val="AE0C7A1A"/>
    <w:lvl w:ilvl="0" w:tplc="B746A2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5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4C7"/>
    <w:rsid w:val="000128D7"/>
    <w:rsid w:val="00025C67"/>
    <w:rsid w:val="00063991"/>
    <w:rsid w:val="0007413E"/>
    <w:rsid w:val="00095DAF"/>
    <w:rsid w:val="000A15BC"/>
    <w:rsid w:val="000A6E0C"/>
    <w:rsid w:val="000D63BA"/>
    <w:rsid w:val="000E3A69"/>
    <w:rsid w:val="001234D7"/>
    <w:rsid w:val="00143FBA"/>
    <w:rsid w:val="001506DE"/>
    <w:rsid w:val="001925A6"/>
    <w:rsid w:val="00212CC6"/>
    <w:rsid w:val="00215518"/>
    <w:rsid w:val="00224806"/>
    <w:rsid w:val="00257356"/>
    <w:rsid w:val="002649C5"/>
    <w:rsid w:val="00286BC1"/>
    <w:rsid w:val="002B4C07"/>
    <w:rsid w:val="002E15AD"/>
    <w:rsid w:val="003138A7"/>
    <w:rsid w:val="00314270"/>
    <w:rsid w:val="00317E72"/>
    <w:rsid w:val="00341F21"/>
    <w:rsid w:val="00375964"/>
    <w:rsid w:val="00383C24"/>
    <w:rsid w:val="003B244A"/>
    <w:rsid w:val="003D2E1A"/>
    <w:rsid w:val="00401FC5"/>
    <w:rsid w:val="00457683"/>
    <w:rsid w:val="00476E85"/>
    <w:rsid w:val="004A6C7A"/>
    <w:rsid w:val="005354C5"/>
    <w:rsid w:val="00542C35"/>
    <w:rsid w:val="0055367A"/>
    <w:rsid w:val="005E63F6"/>
    <w:rsid w:val="005F17D6"/>
    <w:rsid w:val="00610B79"/>
    <w:rsid w:val="0062132F"/>
    <w:rsid w:val="00633AE5"/>
    <w:rsid w:val="00643DD4"/>
    <w:rsid w:val="00644E7F"/>
    <w:rsid w:val="006728B9"/>
    <w:rsid w:val="00676407"/>
    <w:rsid w:val="00676A60"/>
    <w:rsid w:val="00690459"/>
    <w:rsid w:val="006C7471"/>
    <w:rsid w:val="006F39E4"/>
    <w:rsid w:val="007211EC"/>
    <w:rsid w:val="00721D06"/>
    <w:rsid w:val="00725544"/>
    <w:rsid w:val="007751F5"/>
    <w:rsid w:val="0077727E"/>
    <w:rsid w:val="007960B3"/>
    <w:rsid w:val="007A4339"/>
    <w:rsid w:val="007A5B19"/>
    <w:rsid w:val="007B5740"/>
    <w:rsid w:val="007B6E15"/>
    <w:rsid w:val="007C7895"/>
    <w:rsid w:val="007E7C17"/>
    <w:rsid w:val="00812507"/>
    <w:rsid w:val="00812ED2"/>
    <w:rsid w:val="00830D87"/>
    <w:rsid w:val="008728DD"/>
    <w:rsid w:val="008840E5"/>
    <w:rsid w:val="008A324A"/>
    <w:rsid w:val="008B4E67"/>
    <w:rsid w:val="008C67FF"/>
    <w:rsid w:val="008D41DC"/>
    <w:rsid w:val="00913699"/>
    <w:rsid w:val="009215FA"/>
    <w:rsid w:val="00971339"/>
    <w:rsid w:val="0097786D"/>
    <w:rsid w:val="009A1CD7"/>
    <w:rsid w:val="009A3602"/>
    <w:rsid w:val="009A3C84"/>
    <w:rsid w:val="009B1DB4"/>
    <w:rsid w:val="009B37D1"/>
    <w:rsid w:val="009D0A52"/>
    <w:rsid w:val="009E3A60"/>
    <w:rsid w:val="00A0521F"/>
    <w:rsid w:val="00A30507"/>
    <w:rsid w:val="00A33096"/>
    <w:rsid w:val="00A92406"/>
    <w:rsid w:val="00AA7819"/>
    <w:rsid w:val="00AB5E1B"/>
    <w:rsid w:val="00AC19FF"/>
    <w:rsid w:val="00AD4DD5"/>
    <w:rsid w:val="00AD71B0"/>
    <w:rsid w:val="00AF0E2A"/>
    <w:rsid w:val="00AF39EE"/>
    <w:rsid w:val="00B27384"/>
    <w:rsid w:val="00B76821"/>
    <w:rsid w:val="00C05285"/>
    <w:rsid w:val="00C06131"/>
    <w:rsid w:val="00C204C7"/>
    <w:rsid w:val="00C610EE"/>
    <w:rsid w:val="00C867B1"/>
    <w:rsid w:val="00C9016A"/>
    <w:rsid w:val="00CD4727"/>
    <w:rsid w:val="00CE2451"/>
    <w:rsid w:val="00CF24B7"/>
    <w:rsid w:val="00CF7EA9"/>
    <w:rsid w:val="00D119D7"/>
    <w:rsid w:val="00D606B1"/>
    <w:rsid w:val="00D9501C"/>
    <w:rsid w:val="00DB09B6"/>
    <w:rsid w:val="00DE6A6A"/>
    <w:rsid w:val="00E36502"/>
    <w:rsid w:val="00EB4AC2"/>
    <w:rsid w:val="00EE7F0C"/>
    <w:rsid w:val="00EF109C"/>
    <w:rsid w:val="00EF5916"/>
    <w:rsid w:val="00F11F70"/>
    <w:rsid w:val="00F26705"/>
    <w:rsid w:val="00F70109"/>
    <w:rsid w:val="00FA5B4D"/>
    <w:rsid w:val="00FC26B5"/>
    <w:rsid w:val="00FD3E1E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117DBF47-826B-48B1-8F78-8B72E20A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12CC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41F2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aliases w:val="Знак"/>
    <w:basedOn w:val="a"/>
    <w:next w:val="a"/>
    <w:link w:val="70"/>
    <w:uiPriority w:val="9"/>
    <w:qFormat/>
    <w:rsid w:val="00224806"/>
    <w:pPr>
      <w:spacing w:before="240" w:after="60" w:line="240" w:lineRule="auto"/>
      <w:outlineLvl w:val="6"/>
    </w:pPr>
    <w:rPr>
      <w:rFonts w:ascii="Times New Roman" w:eastAsia="PMingLiU" w:hAnsi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12C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341F21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aliases w:val="Знак Знак"/>
    <w:link w:val="7"/>
    <w:uiPriority w:val="9"/>
    <w:locked/>
    <w:rsid w:val="00224806"/>
    <w:rPr>
      <w:rFonts w:ascii="Times New Roman" w:eastAsia="PMingLiU" w:hAnsi="Times New Roman" w:cs="Times New Roman"/>
      <w:sz w:val="24"/>
      <w:szCs w:val="24"/>
      <w:lang w:val="x-none" w:eastAsia="zh-TW"/>
    </w:rPr>
  </w:style>
  <w:style w:type="paragraph" w:styleId="a3">
    <w:name w:val="List Paragraph"/>
    <w:basedOn w:val="a"/>
    <w:uiPriority w:val="34"/>
    <w:qFormat/>
    <w:rsid w:val="00212CC6"/>
    <w:pPr>
      <w:ind w:left="720"/>
      <w:contextualSpacing/>
    </w:pPr>
  </w:style>
  <w:style w:type="paragraph" w:styleId="a4">
    <w:name w:val="Normal (Web)"/>
    <w:basedOn w:val="a"/>
    <w:uiPriority w:val="99"/>
    <w:rsid w:val="00341F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22480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248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224806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224806"/>
    <w:rPr>
      <w:rFonts w:cs="Times New Roman"/>
    </w:rPr>
  </w:style>
  <w:style w:type="paragraph" w:styleId="a9">
    <w:name w:val="Body Text Indent"/>
    <w:basedOn w:val="a"/>
    <w:link w:val="aa"/>
    <w:uiPriority w:val="99"/>
    <w:rsid w:val="00224806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22480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2480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24806"/>
    <w:rPr>
      <w:rFonts w:ascii="Times New Roman" w:hAnsi="Times New Roman" w:cs="Times New Roman"/>
      <w:sz w:val="16"/>
      <w:szCs w:val="16"/>
    </w:rPr>
  </w:style>
  <w:style w:type="paragraph" w:styleId="11">
    <w:name w:val="index 1"/>
    <w:basedOn w:val="a"/>
    <w:next w:val="a"/>
    <w:autoRedefine/>
    <w:uiPriority w:val="99"/>
    <w:semiHidden/>
    <w:rsid w:val="00224806"/>
    <w:pPr>
      <w:spacing w:after="0" w:line="240" w:lineRule="auto"/>
      <w:ind w:left="240" w:hanging="240"/>
    </w:pPr>
    <w:rPr>
      <w:rFonts w:ascii="Times New Roman" w:hAnsi="Times New Roman"/>
      <w:sz w:val="18"/>
      <w:szCs w:val="18"/>
    </w:rPr>
  </w:style>
  <w:style w:type="paragraph" w:styleId="21">
    <w:name w:val="index 2"/>
    <w:basedOn w:val="a"/>
    <w:next w:val="a"/>
    <w:autoRedefine/>
    <w:uiPriority w:val="99"/>
    <w:semiHidden/>
    <w:rsid w:val="00224806"/>
    <w:pPr>
      <w:spacing w:after="0" w:line="240" w:lineRule="auto"/>
      <w:ind w:left="480" w:hanging="240"/>
    </w:pPr>
    <w:rPr>
      <w:rFonts w:ascii="Times New Roman" w:hAnsi="Times New Roman"/>
      <w:sz w:val="18"/>
      <w:szCs w:val="18"/>
    </w:rPr>
  </w:style>
  <w:style w:type="paragraph" w:styleId="31">
    <w:name w:val="index 3"/>
    <w:basedOn w:val="a"/>
    <w:next w:val="a"/>
    <w:autoRedefine/>
    <w:uiPriority w:val="99"/>
    <w:semiHidden/>
    <w:rsid w:val="00224806"/>
    <w:pPr>
      <w:spacing w:after="0" w:line="240" w:lineRule="auto"/>
      <w:ind w:left="720" w:hanging="240"/>
    </w:pPr>
    <w:rPr>
      <w:rFonts w:ascii="Times New Roman" w:hAnsi="Times New Roman"/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rsid w:val="00224806"/>
    <w:pPr>
      <w:spacing w:after="0" w:line="240" w:lineRule="auto"/>
      <w:ind w:left="960" w:hanging="240"/>
    </w:pPr>
    <w:rPr>
      <w:rFonts w:ascii="Times New Roman" w:hAnsi="Times New Roman"/>
      <w:sz w:val="18"/>
      <w:szCs w:val="18"/>
    </w:rPr>
  </w:style>
  <w:style w:type="paragraph" w:styleId="5">
    <w:name w:val="index 5"/>
    <w:basedOn w:val="a"/>
    <w:next w:val="a"/>
    <w:autoRedefine/>
    <w:uiPriority w:val="99"/>
    <w:semiHidden/>
    <w:rsid w:val="00224806"/>
    <w:pPr>
      <w:spacing w:after="0" w:line="240" w:lineRule="auto"/>
      <w:ind w:left="1200" w:hanging="240"/>
    </w:pPr>
    <w:rPr>
      <w:rFonts w:ascii="Times New Roman" w:hAnsi="Times New Roman"/>
      <w:sz w:val="18"/>
      <w:szCs w:val="18"/>
    </w:rPr>
  </w:style>
  <w:style w:type="paragraph" w:styleId="6">
    <w:name w:val="index 6"/>
    <w:basedOn w:val="a"/>
    <w:next w:val="a"/>
    <w:autoRedefine/>
    <w:uiPriority w:val="99"/>
    <w:semiHidden/>
    <w:rsid w:val="00224806"/>
    <w:pPr>
      <w:spacing w:after="0" w:line="240" w:lineRule="auto"/>
      <w:ind w:left="1440" w:hanging="240"/>
    </w:pPr>
    <w:rPr>
      <w:rFonts w:ascii="Times New Roman" w:hAnsi="Times New Roman"/>
      <w:sz w:val="18"/>
      <w:szCs w:val="18"/>
    </w:rPr>
  </w:style>
  <w:style w:type="paragraph" w:styleId="71">
    <w:name w:val="index 7"/>
    <w:basedOn w:val="a"/>
    <w:next w:val="a"/>
    <w:autoRedefine/>
    <w:uiPriority w:val="99"/>
    <w:semiHidden/>
    <w:rsid w:val="00224806"/>
    <w:pPr>
      <w:spacing w:after="0" w:line="240" w:lineRule="auto"/>
      <w:ind w:left="1680" w:hanging="240"/>
    </w:pPr>
    <w:rPr>
      <w:rFonts w:ascii="Times New Roman" w:hAnsi="Times New Roman"/>
      <w:sz w:val="18"/>
      <w:szCs w:val="18"/>
    </w:rPr>
  </w:style>
  <w:style w:type="paragraph" w:styleId="8">
    <w:name w:val="index 8"/>
    <w:basedOn w:val="a"/>
    <w:next w:val="a"/>
    <w:autoRedefine/>
    <w:uiPriority w:val="99"/>
    <w:semiHidden/>
    <w:rsid w:val="00224806"/>
    <w:pPr>
      <w:spacing w:after="0" w:line="240" w:lineRule="auto"/>
      <w:ind w:left="1920" w:hanging="240"/>
    </w:pPr>
    <w:rPr>
      <w:rFonts w:ascii="Times New Roman" w:hAnsi="Times New Roman"/>
      <w:sz w:val="18"/>
      <w:szCs w:val="18"/>
    </w:rPr>
  </w:style>
  <w:style w:type="paragraph" w:styleId="9">
    <w:name w:val="index 9"/>
    <w:basedOn w:val="a"/>
    <w:next w:val="a"/>
    <w:autoRedefine/>
    <w:uiPriority w:val="99"/>
    <w:semiHidden/>
    <w:rsid w:val="00224806"/>
    <w:pPr>
      <w:spacing w:after="0" w:line="240" w:lineRule="auto"/>
      <w:ind w:left="2160" w:hanging="240"/>
    </w:pPr>
    <w:rPr>
      <w:rFonts w:ascii="Times New Roman" w:hAnsi="Times New Roman"/>
      <w:sz w:val="18"/>
      <w:szCs w:val="18"/>
    </w:rPr>
  </w:style>
  <w:style w:type="paragraph" w:styleId="ab">
    <w:name w:val="index heading"/>
    <w:basedOn w:val="a"/>
    <w:next w:val="11"/>
    <w:uiPriority w:val="99"/>
    <w:semiHidden/>
    <w:rsid w:val="00224806"/>
    <w:pPr>
      <w:pBdr>
        <w:top w:val="single" w:sz="12" w:space="0" w:color="auto"/>
      </w:pBdr>
      <w:spacing w:before="360" w:after="240" w:line="240" w:lineRule="auto"/>
    </w:pPr>
    <w:rPr>
      <w:rFonts w:ascii="Times New Roman" w:hAnsi="Times New Roman"/>
      <w:b/>
      <w:bCs/>
      <w:i/>
      <w:iCs/>
      <w:sz w:val="26"/>
      <w:szCs w:val="26"/>
    </w:rPr>
  </w:style>
  <w:style w:type="paragraph" w:styleId="12">
    <w:name w:val="toc 1"/>
    <w:basedOn w:val="a"/>
    <w:next w:val="a"/>
    <w:autoRedefine/>
    <w:uiPriority w:val="39"/>
    <w:semiHidden/>
    <w:rsid w:val="00224806"/>
    <w:pPr>
      <w:tabs>
        <w:tab w:val="right" w:leader="dot" w:pos="9449"/>
      </w:tabs>
      <w:spacing w:after="0" w:line="360" w:lineRule="auto"/>
    </w:pPr>
    <w:rPr>
      <w:rFonts w:ascii="Times New Roman" w:hAnsi="Times New Roman"/>
      <w:sz w:val="28"/>
      <w:szCs w:val="24"/>
    </w:rPr>
  </w:style>
  <w:style w:type="paragraph" w:styleId="22">
    <w:name w:val="toc 2"/>
    <w:basedOn w:val="a"/>
    <w:next w:val="a"/>
    <w:autoRedefine/>
    <w:uiPriority w:val="39"/>
    <w:semiHidden/>
    <w:rsid w:val="00224806"/>
    <w:pPr>
      <w:spacing w:after="0" w:line="240" w:lineRule="auto"/>
      <w:ind w:left="240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rsid w:val="00224806"/>
    <w:rPr>
      <w:rFonts w:cs="Times New Roman"/>
      <w:color w:val="0000FF"/>
      <w:u w:val="single"/>
    </w:rPr>
  </w:style>
  <w:style w:type="paragraph" w:customStyle="1" w:styleId="FR2">
    <w:name w:val="FR2"/>
    <w:rsid w:val="00224806"/>
    <w:pPr>
      <w:widowControl w:val="0"/>
    </w:pPr>
    <w:rPr>
      <w:rFonts w:ascii="Arial" w:hAnsi="Arial"/>
      <w:sz w:val="24"/>
    </w:rPr>
  </w:style>
  <w:style w:type="paragraph" w:styleId="ad">
    <w:name w:val="Balloon Text"/>
    <w:basedOn w:val="a"/>
    <w:link w:val="ae"/>
    <w:uiPriority w:val="99"/>
    <w:semiHidden/>
    <w:rsid w:val="002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24806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224806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224806"/>
    <w:rPr>
      <w:rFonts w:ascii="Times New Roman" w:hAnsi="Times New Roman" w:cs="Times New Roman"/>
      <w:sz w:val="20"/>
      <w:szCs w:val="20"/>
    </w:rPr>
  </w:style>
  <w:style w:type="paragraph" w:customStyle="1" w:styleId="13">
    <w:name w:val="Стиль1"/>
    <w:basedOn w:val="a"/>
    <w:rsid w:val="00224806"/>
    <w:pPr>
      <w:spacing w:after="0" w:line="240" w:lineRule="auto"/>
    </w:pPr>
    <w:rPr>
      <w:rFonts w:ascii="Times New Roman" w:hAnsi="Times New Roman"/>
      <w:sz w:val="26"/>
      <w:szCs w:val="26"/>
    </w:rPr>
  </w:style>
  <w:style w:type="paragraph" w:styleId="af">
    <w:name w:val="Body Text"/>
    <w:basedOn w:val="a"/>
    <w:link w:val="af0"/>
    <w:uiPriority w:val="99"/>
    <w:unhideWhenUsed/>
    <w:rsid w:val="00224806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224806"/>
    <w:rPr>
      <w:rFonts w:ascii="Times New Roman" w:hAnsi="Times New Roman" w:cs="Times New Roman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22480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224806"/>
    <w:rPr>
      <w:rFonts w:ascii="Times New Roman" w:hAnsi="Times New Roman" w:cs="Times New Roman"/>
      <w:sz w:val="20"/>
      <w:szCs w:val="20"/>
    </w:rPr>
  </w:style>
  <w:style w:type="paragraph" w:styleId="af3">
    <w:name w:val="footer"/>
    <w:basedOn w:val="a"/>
    <w:link w:val="af4"/>
    <w:uiPriority w:val="99"/>
    <w:rsid w:val="002248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sid w:val="00224806"/>
    <w:rPr>
      <w:rFonts w:ascii="Times New Roman" w:hAnsi="Times New Roman" w:cs="Times New Roman"/>
      <w:sz w:val="24"/>
      <w:szCs w:val="24"/>
    </w:rPr>
  </w:style>
  <w:style w:type="character" w:customStyle="1" w:styleId="FontStyle117">
    <w:name w:val="Font Style117"/>
    <w:uiPriority w:val="99"/>
    <w:rsid w:val="00B7682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B76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B76821"/>
    <w:rPr>
      <w:rFonts w:ascii="Century Schoolbook" w:hAnsi="Century Schoolbook" w:cs="Century Schoolbook"/>
      <w:i/>
      <w:iCs/>
      <w:spacing w:val="-20"/>
      <w:sz w:val="28"/>
      <w:szCs w:val="28"/>
    </w:rPr>
  </w:style>
  <w:style w:type="paragraph" w:customStyle="1" w:styleId="Style7">
    <w:name w:val="Style7"/>
    <w:basedOn w:val="a"/>
    <w:uiPriority w:val="99"/>
    <w:rsid w:val="00C9016A"/>
    <w:pPr>
      <w:widowControl w:val="0"/>
      <w:autoSpaceDE w:val="0"/>
      <w:autoSpaceDN w:val="0"/>
      <w:adjustRightInd w:val="0"/>
      <w:spacing w:after="0" w:line="494" w:lineRule="exact"/>
      <w:ind w:firstLine="49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admin</cp:lastModifiedBy>
  <cp:revision>2</cp:revision>
  <cp:lastPrinted>2010-03-01T14:28:00Z</cp:lastPrinted>
  <dcterms:created xsi:type="dcterms:W3CDTF">2014-03-20T09:37:00Z</dcterms:created>
  <dcterms:modified xsi:type="dcterms:W3CDTF">2014-03-20T09:37:00Z</dcterms:modified>
</cp:coreProperties>
</file>