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67" w:rsidRPr="004B53AC" w:rsidRDefault="007A5467" w:rsidP="007A5467">
      <w:pPr>
        <w:spacing w:before="120"/>
        <w:jc w:val="center"/>
        <w:rPr>
          <w:b/>
          <w:bCs/>
          <w:sz w:val="32"/>
          <w:szCs w:val="32"/>
        </w:rPr>
      </w:pPr>
      <w:r w:rsidRPr="004B53AC">
        <w:rPr>
          <w:b/>
          <w:bCs/>
          <w:sz w:val="32"/>
          <w:szCs w:val="32"/>
        </w:rPr>
        <w:t xml:space="preserve">Противопоказания к вакцинации </w:t>
      </w:r>
    </w:p>
    <w:p w:rsidR="007A5467" w:rsidRPr="004B53AC" w:rsidRDefault="007A5467" w:rsidP="007A5467">
      <w:pPr>
        <w:spacing w:before="120"/>
        <w:jc w:val="center"/>
        <w:rPr>
          <w:b/>
          <w:bCs/>
          <w:sz w:val="28"/>
          <w:szCs w:val="28"/>
        </w:rPr>
      </w:pPr>
      <w:r w:rsidRPr="004B53AC">
        <w:rPr>
          <w:b/>
          <w:bCs/>
          <w:sz w:val="28"/>
          <w:szCs w:val="28"/>
        </w:rPr>
        <w:t>Противопоказания</w:t>
      </w:r>
    </w:p>
    <w:p w:rsidR="007A5467" w:rsidRPr="004B53AC" w:rsidRDefault="007A5467" w:rsidP="007A5467">
      <w:pPr>
        <w:spacing w:before="120"/>
        <w:ind w:firstLine="567"/>
        <w:jc w:val="both"/>
      </w:pPr>
      <w:r w:rsidRPr="004B53AC">
        <w:t xml:space="preserve">Легкое заболевание и повышенная температура. Большинство вакцин предназначено для введения здоровым людям или пациентам, на течение заболеваний или состояние которых вакцина не окажет негативного влияния. Для обеспечения максимальной безопасности вакцины не должны вводиться пациентам, состояние или болезнь которых может быть значительно усилено негативным действием этих препаратов. Наиболее распространены ситуации, где дети, которым должна быть сделана плановая прививка, страдают в этот момент острым заболеванием. Наличие у ребенка легкого заболевания (например, легкий насморк) не является противопоказанием к применению вакцин, особенно если ребенок часто страдает от инфекций верхних дыхательных путей или аллергическим ринитом. В любом случае заключение о тяжести заболевания и возможности вакцинации должен давать врач, хотя доказательств повышенной опасности иммунизации в таких случаях (легкие заболевания) в настоящее время не существует. Отсрочка иммунизации для таких детей часто приводит к необходимости “нагонять” календарь прививок в старшем возрасте или развитию предотвращаемых вакцинами болезней. </w:t>
      </w:r>
    </w:p>
    <w:p w:rsidR="007A5467" w:rsidRPr="004B53AC" w:rsidRDefault="007A5467" w:rsidP="007A5467">
      <w:pPr>
        <w:spacing w:before="120"/>
        <w:ind w:firstLine="567"/>
        <w:jc w:val="both"/>
      </w:pPr>
      <w:r w:rsidRPr="004B53AC">
        <w:t>Рекомендации относительно иммунизации детей, имеющих острое, фебрильное заболевание, основаны на оценке врачом состояния ребенка и зависят от конкретной вакцины, плановую прививку которой он должен получить. Повышенная температура сама по себе не является противопоказанием к иммунизации. Однако, если лихорадка или другие проявления указывают на наличие средней тяжести или тяжелого заболевания, ребенка нельзя прививать до полного выздоровления.</w:t>
      </w:r>
    </w:p>
    <w:tbl>
      <w:tblPr>
        <w:tblW w:w="4750" w:type="pct"/>
        <w:jc w:val="center"/>
        <w:tblCellSpacing w:w="15" w:type="dxa"/>
        <w:tblCellMar>
          <w:top w:w="60" w:type="dxa"/>
          <w:left w:w="60" w:type="dxa"/>
          <w:bottom w:w="60" w:type="dxa"/>
          <w:right w:w="60" w:type="dxa"/>
        </w:tblCellMar>
        <w:tblLook w:val="0000" w:firstRow="0" w:lastRow="0" w:firstColumn="0" w:lastColumn="0" w:noHBand="0" w:noVBand="0"/>
      </w:tblPr>
      <w:tblGrid>
        <w:gridCol w:w="3176"/>
        <w:gridCol w:w="6151"/>
      </w:tblGrid>
      <w:tr w:rsidR="007A5467" w:rsidRPr="004B53AC" w:rsidTr="00D8724E">
        <w:trPr>
          <w:tblCellSpacing w:w="15" w:type="dxa"/>
          <w:jc w:val="center"/>
        </w:trPr>
        <w:tc>
          <w:tcPr>
            <w:tcW w:w="0" w:type="auto"/>
            <w:vAlign w:val="center"/>
          </w:tcPr>
          <w:p w:rsidR="007A5467" w:rsidRPr="004B53AC" w:rsidRDefault="007A5467" w:rsidP="00D8724E">
            <w:pPr>
              <w:jc w:val="both"/>
            </w:pPr>
            <w:r w:rsidRPr="004B53AC">
              <w:t>Вакцина</w:t>
            </w:r>
          </w:p>
        </w:tc>
        <w:tc>
          <w:tcPr>
            <w:tcW w:w="0" w:type="auto"/>
            <w:vAlign w:val="center"/>
          </w:tcPr>
          <w:p w:rsidR="007A5467" w:rsidRPr="004B53AC" w:rsidRDefault="007A5467" w:rsidP="00D8724E">
            <w:pPr>
              <w:jc w:val="both"/>
            </w:pPr>
            <w:r w:rsidRPr="004B53AC">
              <w:t>Противопоказания</w:t>
            </w:r>
          </w:p>
        </w:tc>
      </w:tr>
      <w:tr w:rsidR="007A5467" w:rsidRPr="004B53AC" w:rsidTr="00D8724E">
        <w:trPr>
          <w:tblCellSpacing w:w="15" w:type="dxa"/>
          <w:jc w:val="center"/>
        </w:trPr>
        <w:tc>
          <w:tcPr>
            <w:tcW w:w="0" w:type="auto"/>
            <w:vAlign w:val="center"/>
          </w:tcPr>
          <w:p w:rsidR="007A5467" w:rsidRPr="004B53AC" w:rsidRDefault="007A5467" w:rsidP="00D8724E">
            <w:pPr>
              <w:jc w:val="both"/>
            </w:pPr>
            <w:r w:rsidRPr="004B53AC">
              <w:t xml:space="preserve">Все вакцины </w:t>
            </w:r>
          </w:p>
        </w:tc>
        <w:tc>
          <w:tcPr>
            <w:tcW w:w="0" w:type="auto"/>
            <w:vAlign w:val="center"/>
          </w:tcPr>
          <w:p w:rsidR="007A5467" w:rsidRPr="004B53AC" w:rsidRDefault="007A5467" w:rsidP="00D8724E">
            <w:pPr>
              <w:jc w:val="both"/>
            </w:pPr>
            <w:r w:rsidRPr="004B53AC">
              <w:t>Сильная реакция или осложнение на предыдущую дозу*, среднетяжелое, тяжелое заболевание</w:t>
            </w:r>
          </w:p>
        </w:tc>
      </w:tr>
      <w:tr w:rsidR="007A5467" w:rsidRPr="004B53AC" w:rsidTr="00D8724E">
        <w:trPr>
          <w:tblCellSpacing w:w="15" w:type="dxa"/>
          <w:jc w:val="center"/>
        </w:trPr>
        <w:tc>
          <w:tcPr>
            <w:tcW w:w="0" w:type="auto"/>
            <w:vAlign w:val="center"/>
          </w:tcPr>
          <w:p w:rsidR="007A5467" w:rsidRPr="004B53AC" w:rsidRDefault="007A5467" w:rsidP="00D8724E">
            <w:pPr>
              <w:jc w:val="both"/>
            </w:pPr>
            <w:r w:rsidRPr="004B53AC">
              <w:t>Все живые вакцины</w:t>
            </w:r>
          </w:p>
        </w:tc>
        <w:tc>
          <w:tcPr>
            <w:tcW w:w="0" w:type="auto"/>
            <w:vAlign w:val="center"/>
          </w:tcPr>
          <w:p w:rsidR="007A5467" w:rsidRPr="004B53AC" w:rsidRDefault="007A5467" w:rsidP="00D8724E">
            <w:pPr>
              <w:jc w:val="both"/>
            </w:pPr>
            <w:r w:rsidRPr="004B53AC">
              <w:t xml:space="preserve">Иммунодефицитное состояние (первичное), иммуносупрессия, злокачественные новообразования, беременность </w:t>
            </w:r>
          </w:p>
        </w:tc>
      </w:tr>
      <w:tr w:rsidR="007A5467" w:rsidRPr="004B53AC" w:rsidTr="00D8724E">
        <w:trPr>
          <w:tblCellSpacing w:w="15" w:type="dxa"/>
          <w:jc w:val="center"/>
        </w:trPr>
        <w:tc>
          <w:tcPr>
            <w:tcW w:w="0" w:type="auto"/>
            <w:vAlign w:val="center"/>
          </w:tcPr>
          <w:p w:rsidR="007A5467" w:rsidRPr="004B53AC" w:rsidRDefault="007A5467" w:rsidP="00D8724E">
            <w:pPr>
              <w:jc w:val="both"/>
            </w:pPr>
            <w:r w:rsidRPr="004B53AC">
              <w:t xml:space="preserve">БЦЖ - вакцина </w:t>
            </w:r>
          </w:p>
        </w:tc>
        <w:tc>
          <w:tcPr>
            <w:tcW w:w="0" w:type="auto"/>
            <w:vAlign w:val="center"/>
          </w:tcPr>
          <w:p w:rsidR="007A5467" w:rsidRPr="004B53AC" w:rsidRDefault="007A5467" w:rsidP="00D8724E">
            <w:pPr>
              <w:jc w:val="both"/>
            </w:pPr>
            <w:r w:rsidRPr="004B53AC">
              <w:t>Вес ребенка менее 2000 г, келлоидный рубец после предыдущей дозы</w:t>
            </w:r>
          </w:p>
        </w:tc>
      </w:tr>
      <w:tr w:rsidR="007A5467" w:rsidRPr="004B53AC" w:rsidTr="00D8724E">
        <w:trPr>
          <w:tblCellSpacing w:w="15" w:type="dxa"/>
          <w:jc w:val="center"/>
        </w:trPr>
        <w:tc>
          <w:tcPr>
            <w:tcW w:w="0" w:type="auto"/>
            <w:vAlign w:val="center"/>
          </w:tcPr>
          <w:p w:rsidR="007A5467" w:rsidRPr="004B53AC" w:rsidRDefault="007A5467" w:rsidP="00D8724E">
            <w:pPr>
              <w:jc w:val="both"/>
            </w:pPr>
            <w:r w:rsidRPr="004B53AC">
              <w:t xml:space="preserve">ОПВ (оральная полиомиелитная вакцина) </w:t>
            </w:r>
          </w:p>
        </w:tc>
        <w:tc>
          <w:tcPr>
            <w:tcW w:w="0" w:type="auto"/>
            <w:vAlign w:val="center"/>
          </w:tcPr>
          <w:p w:rsidR="007A5467" w:rsidRPr="004B53AC" w:rsidRDefault="007A5467" w:rsidP="00D8724E">
            <w:pPr>
              <w:jc w:val="both"/>
            </w:pPr>
            <w:r w:rsidRPr="004B53AC">
              <w:t>Иммунодефицит (в т.ч. инфицированность ВИЧ); домашний контакт с больным иммунодефицитом (в т.ч. ВИЧ); длительная иммуносупрессивная терапия</w:t>
            </w:r>
          </w:p>
        </w:tc>
      </w:tr>
      <w:tr w:rsidR="007A5467" w:rsidRPr="004B53AC" w:rsidTr="00D8724E">
        <w:trPr>
          <w:tblCellSpacing w:w="15" w:type="dxa"/>
          <w:jc w:val="center"/>
        </w:trPr>
        <w:tc>
          <w:tcPr>
            <w:tcW w:w="0" w:type="auto"/>
            <w:vAlign w:val="center"/>
          </w:tcPr>
          <w:p w:rsidR="007A5467" w:rsidRPr="004B53AC" w:rsidRDefault="007A5467" w:rsidP="00D8724E">
            <w:pPr>
              <w:jc w:val="both"/>
            </w:pPr>
            <w:r w:rsidRPr="004B53AC">
              <w:t>ИПВ (инактививрованная полиомиелитная вакцина)</w:t>
            </w:r>
          </w:p>
        </w:tc>
        <w:tc>
          <w:tcPr>
            <w:tcW w:w="0" w:type="auto"/>
            <w:vAlign w:val="center"/>
          </w:tcPr>
          <w:p w:rsidR="007A5467" w:rsidRPr="004B53AC" w:rsidRDefault="007A5467" w:rsidP="00D8724E">
            <w:pPr>
              <w:jc w:val="both"/>
            </w:pPr>
            <w:r w:rsidRPr="004B53AC">
              <w:t>Анафилактическая реакция на неомицин или стрептомицин</w:t>
            </w:r>
          </w:p>
        </w:tc>
      </w:tr>
      <w:tr w:rsidR="007A5467" w:rsidRPr="004B53AC" w:rsidTr="00D8724E">
        <w:trPr>
          <w:tblCellSpacing w:w="15" w:type="dxa"/>
          <w:jc w:val="center"/>
        </w:trPr>
        <w:tc>
          <w:tcPr>
            <w:tcW w:w="0" w:type="auto"/>
            <w:vAlign w:val="center"/>
          </w:tcPr>
          <w:p w:rsidR="007A5467" w:rsidRPr="004B53AC" w:rsidRDefault="007A5467" w:rsidP="00D8724E">
            <w:pPr>
              <w:jc w:val="both"/>
            </w:pPr>
            <w:r w:rsidRPr="004B53AC">
              <w:t xml:space="preserve">АКДС </w:t>
            </w:r>
          </w:p>
        </w:tc>
        <w:tc>
          <w:tcPr>
            <w:tcW w:w="0" w:type="auto"/>
            <w:vAlign w:val="center"/>
          </w:tcPr>
          <w:p w:rsidR="007A5467" w:rsidRPr="004B53AC" w:rsidRDefault="007A5467" w:rsidP="00D8724E">
            <w:pPr>
              <w:jc w:val="both"/>
            </w:pPr>
            <w:r w:rsidRPr="004B53AC">
              <w:t xml:space="preserve">Прогрессирующее заболевание нервной системы, афебрильные судороги в анамнезе (вместо АКДС вводят АДС) </w:t>
            </w:r>
          </w:p>
        </w:tc>
      </w:tr>
      <w:tr w:rsidR="007A5467" w:rsidRPr="004B53AC" w:rsidTr="00D8724E">
        <w:trPr>
          <w:trHeight w:val="510"/>
          <w:tblCellSpacing w:w="15" w:type="dxa"/>
          <w:jc w:val="center"/>
        </w:trPr>
        <w:tc>
          <w:tcPr>
            <w:tcW w:w="0" w:type="auto"/>
            <w:vAlign w:val="center"/>
          </w:tcPr>
          <w:p w:rsidR="007A5467" w:rsidRPr="004B53AC" w:rsidRDefault="007A5467" w:rsidP="00D8724E">
            <w:pPr>
              <w:jc w:val="both"/>
            </w:pPr>
            <w:r w:rsidRPr="004B53AC">
              <w:t xml:space="preserve">АДС, АДС-М </w:t>
            </w:r>
          </w:p>
        </w:tc>
        <w:tc>
          <w:tcPr>
            <w:tcW w:w="0" w:type="auto"/>
            <w:vAlign w:val="center"/>
          </w:tcPr>
          <w:p w:rsidR="007A5467" w:rsidRPr="004B53AC" w:rsidRDefault="007A5467" w:rsidP="00D8724E">
            <w:pPr>
              <w:jc w:val="both"/>
            </w:pPr>
            <w:r w:rsidRPr="004B53AC">
              <w:t xml:space="preserve">Абсолютных противопоказаний нет </w:t>
            </w:r>
          </w:p>
        </w:tc>
      </w:tr>
      <w:tr w:rsidR="007A5467" w:rsidRPr="004B53AC" w:rsidTr="00D8724E">
        <w:trPr>
          <w:trHeight w:val="1410"/>
          <w:tblCellSpacing w:w="15" w:type="dxa"/>
          <w:jc w:val="center"/>
        </w:trPr>
        <w:tc>
          <w:tcPr>
            <w:tcW w:w="0" w:type="auto"/>
            <w:vAlign w:val="center"/>
          </w:tcPr>
          <w:p w:rsidR="007A5467" w:rsidRPr="004B53AC" w:rsidRDefault="007A5467" w:rsidP="00D8724E">
            <w:pPr>
              <w:jc w:val="both"/>
            </w:pPr>
            <w:r w:rsidRPr="004B53AC">
              <w:t xml:space="preserve">ЖКВ (живая коревая вакцина), ЖПВ (живая паротитная вакцина) </w:t>
            </w:r>
          </w:p>
          <w:p w:rsidR="007A5467" w:rsidRPr="004B53AC" w:rsidRDefault="007A5467" w:rsidP="00D8724E">
            <w:pPr>
              <w:jc w:val="both"/>
            </w:pPr>
            <w:r w:rsidRPr="004B53AC">
              <w:t xml:space="preserve">Вакцина против краснухи или тривакцина (корь, паротит, краснуха) </w:t>
            </w:r>
          </w:p>
        </w:tc>
        <w:tc>
          <w:tcPr>
            <w:tcW w:w="0" w:type="auto"/>
            <w:vAlign w:val="center"/>
          </w:tcPr>
          <w:p w:rsidR="007A5467" w:rsidRPr="004B53AC" w:rsidRDefault="007A5467" w:rsidP="00D8724E">
            <w:pPr>
              <w:jc w:val="both"/>
            </w:pPr>
            <w:r w:rsidRPr="004B53AC">
              <w:t>Анафилактическая реакция на белок куриного яйца и неомицин; беременность; определенные виды иммунодефицита (лейкозы и опухоли, врожденный иммунодефицит); долговременная иммуносупрессивная терапия</w:t>
            </w:r>
          </w:p>
        </w:tc>
      </w:tr>
    </w:tbl>
    <w:p w:rsidR="007A5467" w:rsidRPr="004B53AC" w:rsidRDefault="007A5467" w:rsidP="007A5467">
      <w:pPr>
        <w:spacing w:before="120"/>
        <w:ind w:firstLine="567"/>
        <w:jc w:val="both"/>
      </w:pPr>
      <w:r w:rsidRPr="004B53AC">
        <w:t>* Сильной реакцией является наличие температуры выше 40 градусов, в месте введения вакцины - отек, гиперемия &gt; 8 см в диаметре, реакция анафилактического шока.</w:t>
      </w:r>
    </w:p>
    <w:p w:rsidR="007A5467" w:rsidRPr="004B53AC" w:rsidRDefault="007A5467" w:rsidP="007A5467">
      <w:pPr>
        <w:spacing w:before="120"/>
        <w:ind w:firstLine="567"/>
        <w:jc w:val="both"/>
      </w:pPr>
      <w:r w:rsidRPr="004B53AC">
        <w:t>Примечание. Плановая вакцинация откладывается до окончания острых проявлений заболевания и обострения хронических заболеваний. При нетяжелых ОРВИ, острых кишечных заболеваниях и др. прививки проводятся сразу же после нормализации температуры.</w:t>
      </w:r>
    </w:p>
    <w:p w:rsidR="007A5467" w:rsidRPr="004B53AC" w:rsidRDefault="007A5467" w:rsidP="007A5467">
      <w:pPr>
        <w:spacing w:before="120"/>
        <w:jc w:val="center"/>
        <w:rPr>
          <w:b/>
          <w:bCs/>
          <w:sz w:val="28"/>
          <w:szCs w:val="28"/>
        </w:rPr>
      </w:pPr>
      <w:r w:rsidRPr="004B53AC">
        <w:rPr>
          <w:b/>
          <w:bCs/>
          <w:sz w:val="28"/>
          <w:szCs w:val="28"/>
        </w:rPr>
        <w:t>Ложные (относительные) противопоказания к проведению профилактических прививок</w:t>
      </w:r>
    </w:p>
    <w:p w:rsidR="007A5467" w:rsidRPr="004B53AC" w:rsidRDefault="007A5467" w:rsidP="007A5467">
      <w:pPr>
        <w:spacing w:before="120"/>
        <w:ind w:firstLine="567"/>
        <w:jc w:val="both"/>
      </w:pPr>
      <w:r w:rsidRPr="004B53AC">
        <w:t xml:space="preserve">Некоторые состояния, не являясь противопоказаниями, служат предостережением при вакцинации. При наличии у пациента одного из таких состояний врач может вакцинировать его в том случае, если польза от вакцинации превышает потенциальный вред от нее. </w:t>
      </w:r>
    </w:p>
    <w:tbl>
      <w:tblPr>
        <w:tblW w:w="4750" w:type="pct"/>
        <w:jc w:val="center"/>
        <w:tblCellSpacing w:w="15" w:type="dxa"/>
        <w:tblCellMar>
          <w:top w:w="60" w:type="dxa"/>
          <w:left w:w="60" w:type="dxa"/>
          <w:bottom w:w="60" w:type="dxa"/>
          <w:right w:w="60" w:type="dxa"/>
        </w:tblCellMar>
        <w:tblLook w:val="0000" w:firstRow="0" w:lastRow="0" w:firstColumn="0" w:lastColumn="0" w:noHBand="0" w:noVBand="0"/>
      </w:tblPr>
      <w:tblGrid>
        <w:gridCol w:w="4611"/>
        <w:gridCol w:w="4716"/>
      </w:tblGrid>
      <w:tr w:rsidR="007A5467" w:rsidRPr="004B53AC" w:rsidTr="00D8724E">
        <w:trPr>
          <w:tblCellSpacing w:w="15" w:type="dxa"/>
          <w:jc w:val="center"/>
        </w:trPr>
        <w:tc>
          <w:tcPr>
            <w:tcW w:w="0" w:type="auto"/>
            <w:vAlign w:val="center"/>
          </w:tcPr>
          <w:p w:rsidR="007A5467" w:rsidRPr="004B53AC" w:rsidRDefault="007A5467" w:rsidP="00D8724E">
            <w:pPr>
              <w:jc w:val="both"/>
            </w:pPr>
            <w:r w:rsidRPr="004B53AC">
              <w:t>Состояния</w:t>
            </w:r>
          </w:p>
        </w:tc>
        <w:tc>
          <w:tcPr>
            <w:tcW w:w="0" w:type="auto"/>
            <w:vAlign w:val="center"/>
          </w:tcPr>
          <w:p w:rsidR="007A5467" w:rsidRPr="004B53AC" w:rsidRDefault="007A5467" w:rsidP="00D8724E">
            <w:pPr>
              <w:jc w:val="both"/>
            </w:pPr>
            <w:r w:rsidRPr="004B53AC">
              <w:t>В анамнезе</w:t>
            </w:r>
          </w:p>
        </w:tc>
      </w:tr>
      <w:tr w:rsidR="007A5467" w:rsidRPr="004B53AC" w:rsidTr="00D8724E">
        <w:trPr>
          <w:tblCellSpacing w:w="15" w:type="dxa"/>
          <w:jc w:val="center"/>
        </w:trPr>
        <w:tc>
          <w:tcPr>
            <w:tcW w:w="0" w:type="auto"/>
            <w:vAlign w:val="center"/>
          </w:tcPr>
          <w:p w:rsidR="007A5467" w:rsidRPr="004B53AC" w:rsidRDefault="007A5467" w:rsidP="00D8724E">
            <w:pPr>
              <w:jc w:val="both"/>
            </w:pPr>
            <w:r w:rsidRPr="004B53AC">
              <w:t>Перинатальная энцефалопатия</w:t>
            </w:r>
          </w:p>
        </w:tc>
        <w:tc>
          <w:tcPr>
            <w:tcW w:w="0" w:type="auto"/>
            <w:vAlign w:val="center"/>
          </w:tcPr>
          <w:p w:rsidR="007A5467" w:rsidRPr="004B53AC" w:rsidRDefault="007A5467" w:rsidP="00D8724E">
            <w:pPr>
              <w:jc w:val="both"/>
            </w:pPr>
            <w:r w:rsidRPr="004B53AC">
              <w:t>Недоношенность</w:t>
            </w:r>
          </w:p>
        </w:tc>
      </w:tr>
      <w:tr w:rsidR="007A5467" w:rsidRPr="004B53AC" w:rsidTr="00D8724E">
        <w:trPr>
          <w:tblCellSpacing w:w="15" w:type="dxa"/>
          <w:jc w:val="center"/>
        </w:trPr>
        <w:tc>
          <w:tcPr>
            <w:tcW w:w="0" w:type="auto"/>
            <w:vAlign w:val="center"/>
          </w:tcPr>
          <w:p w:rsidR="007A5467" w:rsidRPr="004B53AC" w:rsidRDefault="007A5467" w:rsidP="00D8724E">
            <w:pPr>
              <w:jc w:val="both"/>
            </w:pPr>
            <w:r w:rsidRPr="004B53AC">
              <w:t>Стабильные неврологические состояния</w:t>
            </w:r>
          </w:p>
        </w:tc>
        <w:tc>
          <w:tcPr>
            <w:tcW w:w="0" w:type="auto"/>
            <w:vAlign w:val="center"/>
          </w:tcPr>
          <w:p w:rsidR="007A5467" w:rsidRPr="004B53AC" w:rsidRDefault="007A5467" w:rsidP="00D8724E">
            <w:pPr>
              <w:jc w:val="both"/>
            </w:pPr>
            <w:r w:rsidRPr="004B53AC">
              <w:t xml:space="preserve">Сепсис, болезнь гиалиновых мембран </w:t>
            </w:r>
          </w:p>
        </w:tc>
      </w:tr>
      <w:tr w:rsidR="007A5467" w:rsidRPr="004B53AC" w:rsidTr="00D8724E">
        <w:trPr>
          <w:tblCellSpacing w:w="15" w:type="dxa"/>
          <w:jc w:val="center"/>
        </w:trPr>
        <w:tc>
          <w:tcPr>
            <w:tcW w:w="0" w:type="auto"/>
            <w:vAlign w:val="center"/>
          </w:tcPr>
          <w:p w:rsidR="007A5467" w:rsidRPr="004B53AC" w:rsidRDefault="007A5467" w:rsidP="00D8724E">
            <w:pPr>
              <w:jc w:val="both"/>
            </w:pPr>
            <w:r w:rsidRPr="004B53AC">
              <w:t>Увеличение тени тимуса</w:t>
            </w:r>
          </w:p>
        </w:tc>
        <w:tc>
          <w:tcPr>
            <w:tcW w:w="0" w:type="auto"/>
            <w:vAlign w:val="center"/>
          </w:tcPr>
          <w:p w:rsidR="007A5467" w:rsidRPr="004B53AC" w:rsidRDefault="007A5467" w:rsidP="00D8724E">
            <w:pPr>
              <w:jc w:val="both"/>
            </w:pPr>
            <w:r w:rsidRPr="004B53AC">
              <w:t xml:space="preserve">Гемолитическая болезнь новорожденных </w:t>
            </w:r>
          </w:p>
        </w:tc>
      </w:tr>
      <w:tr w:rsidR="007A5467" w:rsidRPr="004B53AC" w:rsidTr="00D8724E">
        <w:trPr>
          <w:tblCellSpacing w:w="15" w:type="dxa"/>
          <w:jc w:val="center"/>
        </w:trPr>
        <w:tc>
          <w:tcPr>
            <w:tcW w:w="0" w:type="auto"/>
            <w:vAlign w:val="center"/>
          </w:tcPr>
          <w:p w:rsidR="007A5467" w:rsidRPr="004B53AC" w:rsidRDefault="007A5467" w:rsidP="00D8724E">
            <w:pPr>
              <w:jc w:val="both"/>
            </w:pPr>
            <w:r w:rsidRPr="004B53AC">
              <w:t>Аллергия, астма, экзема</w:t>
            </w:r>
          </w:p>
        </w:tc>
        <w:tc>
          <w:tcPr>
            <w:tcW w:w="0" w:type="auto"/>
            <w:vAlign w:val="center"/>
          </w:tcPr>
          <w:p w:rsidR="007A5467" w:rsidRPr="004B53AC" w:rsidRDefault="007A5467" w:rsidP="00D8724E">
            <w:pPr>
              <w:jc w:val="both"/>
            </w:pPr>
          </w:p>
        </w:tc>
      </w:tr>
      <w:tr w:rsidR="007A5467" w:rsidRPr="004B53AC" w:rsidTr="00D8724E">
        <w:trPr>
          <w:tblCellSpacing w:w="15" w:type="dxa"/>
          <w:jc w:val="center"/>
        </w:trPr>
        <w:tc>
          <w:tcPr>
            <w:tcW w:w="0" w:type="auto"/>
            <w:vAlign w:val="center"/>
          </w:tcPr>
          <w:p w:rsidR="007A5467" w:rsidRPr="004B53AC" w:rsidRDefault="007A5467" w:rsidP="00D8724E">
            <w:pPr>
              <w:jc w:val="both"/>
            </w:pPr>
            <w:r w:rsidRPr="004B53AC">
              <w:t xml:space="preserve">Врожденные пороки </w:t>
            </w:r>
          </w:p>
        </w:tc>
        <w:tc>
          <w:tcPr>
            <w:tcW w:w="0" w:type="auto"/>
            <w:vAlign w:val="center"/>
          </w:tcPr>
          <w:p w:rsidR="007A5467" w:rsidRPr="004B53AC" w:rsidRDefault="007A5467" w:rsidP="00D8724E">
            <w:pPr>
              <w:jc w:val="both"/>
            </w:pPr>
            <w:r w:rsidRPr="004B53AC">
              <w:t xml:space="preserve">Осложнения после вакцинации в семье </w:t>
            </w:r>
          </w:p>
        </w:tc>
      </w:tr>
      <w:tr w:rsidR="007A5467" w:rsidRPr="004B53AC" w:rsidTr="00D8724E">
        <w:trPr>
          <w:tblCellSpacing w:w="15" w:type="dxa"/>
          <w:jc w:val="center"/>
        </w:trPr>
        <w:tc>
          <w:tcPr>
            <w:tcW w:w="0" w:type="auto"/>
            <w:vAlign w:val="center"/>
          </w:tcPr>
          <w:p w:rsidR="007A5467" w:rsidRPr="004B53AC" w:rsidRDefault="007A5467" w:rsidP="00D8724E">
            <w:pPr>
              <w:jc w:val="both"/>
            </w:pPr>
            <w:r w:rsidRPr="004B53AC">
              <w:t xml:space="preserve">Дисбактериоз </w:t>
            </w:r>
          </w:p>
        </w:tc>
        <w:tc>
          <w:tcPr>
            <w:tcW w:w="0" w:type="auto"/>
            <w:vAlign w:val="center"/>
          </w:tcPr>
          <w:p w:rsidR="007A5467" w:rsidRPr="004B53AC" w:rsidRDefault="007A5467" w:rsidP="00D8724E">
            <w:pPr>
              <w:jc w:val="both"/>
            </w:pPr>
            <w:r w:rsidRPr="004B53AC">
              <w:t>Аллергия в семье</w:t>
            </w:r>
          </w:p>
        </w:tc>
      </w:tr>
      <w:tr w:rsidR="007A5467" w:rsidRPr="004B53AC" w:rsidTr="00D8724E">
        <w:trPr>
          <w:tblCellSpacing w:w="15" w:type="dxa"/>
          <w:jc w:val="center"/>
        </w:trPr>
        <w:tc>
          <w:tcPr>
            <w:tcW w:w="0" w:type="auto"/>
            <w:vAlign w:val="center"/>
          </w:tcPr>
          <w:p w:rsidR="007A5467" w:rsidRPr="004B53AC" w:rsidRDefault="007A5467" w:rsidP="00D8724E">
            <w:pPr>
              <w:jc w:val="both"/>
            </w:pPr>
            <w:r w:rsidRPr="004B53AC">
              <w:t>Поддерживающая терапия</w:t>
            </w:r>
          </w:p>
        </w:tc>
        <w:tc>
          <w:tcPr>
            <w:tcW w:w="0" w:type="auto"/>
            <w:vAlign w:val="center"/>
          </w:tcPr>
          <w:p w:rsidR="007A5467" w:rsidRPr="004B53AC" w:rsidRDefault="007A5467" w:rsidP="00D8724E">
            <w:pPr>
              <w:jc w:val="both"/>
            </w:pPr>
            <w:r w:rsidRPr="004B53AC">
              <w:t xml:space="preserve">Эпилепсия </w:t>
            </w:r>
          </w:p>
        </w:tc>
      </w:tr>
      <w:tr w:rsidR="007A5467" w:rsidRPr="004B53AC" w:rsidTr="00D8724E">
        <w:trPr>
          <w:tblCellSpacing w:w="15" w:type="dxa"/>
          <w:jc w:val="center"/>
        </w:trPr>
        <w:tc>
          <w:tcPr>
            <w:tcW w:w="0" w:type="auto"/>
            <w:vAlign w:val="center"/>
          </w:tcPr>
          <w:p w:rsidR="007A5467" w:rsidRPr="004B53AC" w:rsidRDefault="007A5467" w:rsidP="00D8724E">
            <w:pPr>
              <w:jc w:val="both"/>
            </w:pPr>
            <w:r w:rsidRPr="004B53AC">
              <w:t xml:space="preserve">Стероиды местно применяющиеся </w:t>
            </w:r>
          </w:p>
        </w:tc>
        <w:tc>
          <w:tcPr>
            <w:tcW w:w="0" w:type="auto"/>
            <w:vAlign w:val="center"/>
          </w:tcPr>
          <w:p w:rsidR="007A5467" w:rsidRPr="004B53AC" w:rsidRDefault="007A5467" w:rsidP="00D8724E">
            <w:pPr>
              <w:jc w:val="both"/>
            </w:pPr>
            <w:r w:rsidRPr="004B53AC">
              <w:t>Внезапная смерть в семье</w:t>
            </w:r>
          </w:p>
        </w:tc>
      </w:tr>
    </w:tbl>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467"/>
    <w:rsid w:val="000338E2"/>
    <w:rsid w:val="00301D5F"/>
    <w:rsid w:val="004B53AC"/>
    <w:rsid w:val="00616072"/>
    <w:rsid w:val="007A5467"/>
    <w:rsid w:val="008B35EE"/>
    <w:rsid w:val="00B42C45"/>
    <w:rsid w:val="00B47B6A"/>
    <w:rsid w:val="00D87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793443-1B89-4F62-BAD9-EF94A0CE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46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A5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3275</Characters>
  <Application>Microsoft Office Word</Application>
  <DocSecurity>0</DocSecurity>
  <Lines>27</Lines>
  <Paragraphs>7</Paragraphs>
  <ScaleCrop>false</ScaleCrop>
  <Company>Home</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Противопоказания к вакцинации </dc:title>
  <dc:subject/>
  <dc:creator>User</dc:creator>
  <cp:keywords/>
  <dc:description/>
  <cp:lastModifiedBy>admin</cp:lastModifiedBy>
  <cp:revision>2</cp:revision>
  <dcterms:created xsi:type="dcterms:W3CDTF">2014-04-11T15:37:00Z</dcterms:created>
  <dcterms:modified xsi:type="dcterms:W3CDTF">2014-04-11T15:37:00Z</dcterms:modified>
</cp:coreProperties>
</file>