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8F9" w:rsidRPr="00046422" w:rsidRDefault="002938F9" w:rsidP="002938F9">
      <w:pPr>
        <w:spacing w:before="120"/>
        <w:jc w:val="center"/>
        <w:rPr>
          <w:b/>
          <w:bCs/>
          <w:sz w:val="32"/>
          <w:szCs w:val="32"/>
        </w:rPr>
      </w:pPr>
      <w:r w:rsidRPr="00046422">
        <w:rPr>
          <w:b/>
          <w:bCs/>
          <w:sz w:val="32"/>
          <w:szCs w:val="32"/>
        </w:rPr>
        <w:t>Протопоп Аввакум</w:t>
      </w:r>
    </w:p>
    <w:p w:rsidR="002938F9" w:rsidRPr="002938F9" w:rsidRDefault="002938F9" w:rsidP="002938F9">
      <w:pPr>
        <w:spacing w:before="120"/>
        <w:ind w:firstLine="567"/>
        <w:jc w:val="both"/>
        <w:rPr>
          <w:sz w:val="28"/>
          <w:szCs w:val="28"/>
        </w:rPr>
      </w:pPr>
      <w:r w:rsidRPr="002938F9">
        <w:rPr>
          <w:sz w:val="28"/>
          <w:szCs w:val="28"/>
        </w:rPr>
        <w:t xml:space="preserve">А. Д. Седельников </w:t>
      </w:r>
    </w:p>
    <w:p w:rsidR="002938F9" w:rsidRPr="00046422" w:rsidRDefault="002938F9" w:rsidP="002938F9">
      <w:pPr>
        <w:spacing w:before="120"/>
        <w:ind w:firstLine="567"/>
        <w:jc w:val="both"/>
      </w:pPr>
      <w:r w:rsidRPr="00046422">
        <w:t xml:space="preserve">Аввакум, протопоп [1620–1682] — один из основоположников старообрядческого раскола, является в то же время оригинальнейшим литератором XVII в. Происходя из среды низшего духовенства (нынешней Нижегородской губ.) и будучи сам сельским священником, А. уже с ранних лет был борцом и оппозиционером, хотя и мыслил консервативно. Когда началась реформа исправления церковных книг по новогреческим образцам [1653], А. со всей силою темперамента выступил на защиту старины уже как лицо, известное царю Алексею и московским придворным кругам. Дальнейшая жизнь А. проходит в ссылках (в Тобольск, в Даурию, на Мезень, в Пустозерск), прерывавшихся дважды вызовами в Москву: в 1664 — для уговоров его, влиятельного главаря старообрядцев, и в 1666 — для суда над ним с участием вселенских патриархов. Суд лишил его сана, проклял и приговорил к заточению. В 1682 А. вместе с тремя другими раскольниками-учителями сожжен на костре. </w:t>
      </w:r>
    </w:p>
    <w:p w:rsidR="002938F9" w:rsidRPr="00046422" w:rsidRDefault="002938F9" w:rsidP="002938F9">
      <w:pPr>
        <w:spacing w:before="120"/>
        <w:ind w:firstLine="567"/>
        <w:jc w:val="both"/>
      </w:pPr>
      <w:r w:rsidRPr="00046422">
        <w:t xml:space="preserve">Его лит-ое наследие, помимо истолковательных бесед на тексты писания, состоит из многочисленных (свыше 40) посланий и челобитных и из «жития» — автобиографии. Идейная сторона всех этих сочинений — в порицании никонианства, возглавляемого патриархом — предтечей антихриста, в доказательствах преимущества старой веры и в религиозно-догматических рассуждениях, иногда переходящих в теорию старообрядческой общины (о беспокойстве, о самосожжении как очистительной мученической смерти). Неуравновешенностью натуры, подверженностью бредовым идеям и галлюцинациям объясняется наличие всякого рода «видений», в к-рые автор сам искренно верит и к-рыми пользуется, доказывая свою мысль; отсюда же логические ошибки в выводах и крайняя подчас пестрота аргументов. Речь А. — простонародная, хотя местами и с подражанием риторике. </w:t>
      </w:r>
    </w:p>
    <w:p w:rsidR="002938F9" w:rsidRPr="00046422" w:rsidRDefault="002938F9" w:rsidP="002938F9">
      <w:pPr>
        <w:spacing w:before="120"/>
        <w:ind w:firstLine="567"/>
        <w:jc w:val="both"/>
      </w:pPr>
      <w:r w:rsidRPr="00046422">
        <w:t xml:space="preserve">Замечательным памятником старорусской лит-ры является «Житие» А. — его автобиография. «Житие» проникнуто, с одной стороны, некоторым агиографическим колоритом (стилевые недомолвки в рассказе), с другой — и по преимуществу — необычайной реальностью содержания и яз. Страстный темперамент А. ярко обрисовывается в многочисленных бытовых черточках и рассказах в его «Житии». По рассказу Аввакума он то отнимает у некоего «начальника» девицу, свою прихожанку, то из ревности по вере гонит зашедших в село скоморохов, причем </w:t>
      </w:r>
      <w:r>
        <w:t xml:space="preserve"> </w:t>
      </w:r>
      <w:r w:rsidRPr="00046422">
        <w:t xml:space="preserve">ломает у них хари (маски) и бубны, а их плясовых медведей бьет и пускает на волю, то наотрез отказывается благословить «брадобритца», сына боярина Шереметьева. В результате таких поступков А. часто сам оказывается потерпевшим, изгнанным, побитым, брошенным в реку, — но неизменно смотрит на себя как на ревнителя веры, гонимого за веру. Столь же своеобразны стиль и композиция «Жития» — «простодушно деловой сказ то разнообразится перебоем восклицательных и вопросительных интонаций, торжественным чтением библейских текстов, к-рое временами переходит в ораторскую речь, проповедь, то уснащается каламбурами, шутливыми народными присловьями, двустишиями, лишь слабо связанными с искусственной — виршевой поэзией» (В. Виноградов). </w:t>
      </w:r>
    </w:p>
    <w:p w:rsidR="002938F9" w:rsidRDefault="002938F9" w:rsidP="002938F9">
      <w:pPr>
        <w:spacing w:before="120"/>
        <w:ind w:firstLine="567"/>
        <w:jc w:val="both"/>
      </w:pPr>
      <w:r w:rsidRPr="00046422">
        <w:t xml:space="preserve">Яркий изобразительный талант вместе с авторитетностью А. среди старообрядческой массы вызвал к жизни целую плеяду писателей, идеологически и стилистически родственных А. Сюда относится деятельность братьев Денисовых, Павла Прусского и др., а также большое количество анонимной лит-ры народного характера («Сказание о граде Китеже», «Об Опольском царстве», «О картофеле и о табаке», стихотворные плачи, сектантские паспорта в стихах и т. д.). </w:t>
      </w:r>
    </w:p>
    <w:p w:rsidR="002938F9" w:rsidRPr="002938F9" w:rsidRDefault="002938F9" w:rsidP="002938F9">
      <w:pPr>
        <w:spacing w:before="120"/>
        <w:jc w:val="center"/>
        <w:rPr>
          <w:b/>
          <w:bCs/>
          <w:sz w:val="28"/>
          <w:szCs w:val="28"/>
        </w:rPr>
      </w:pPr>
      <w:r w:rsidRPr="002938F9">
        <w:rPr>
          <w:b/>
          <w:bCs/>
          <w:sz w:val="28"/>
          <w:szCs w:val="28"/>
        </w:rPr>
        <w:t>Список литературы</w:t>
      </w:r>
    </w:p>
    <w:p w:rsidR="002938F9" w:rsidRDefault="002938F9" w:rsidP="002938F9">
      <w:pPr>
        <w:spacing w:before="120"/>
        <w:ind w:firstLine="567"/>
        <w:jc w:val="both"/>
      </w:pPr>
      <w:r w:rsidRPr="00046422">
        <w:t>Мякотин В. А., Протопоп А., СПБ., 1894</w:t>
      </w:r>
    </w:p>
    <w:p w:rsidR="002938F9" w:rsidRDefault="002938F9" w:rsidP="002938F9">
      <w:pPr>
        <w:spacing w:before="120"/>
        <w:ind w:firstLine="567"/>
        <w:jc w:val="both"/>
      </w:pPr>
      <w:r w:rsidRPr="00046422">
        <w:t>Бороздин А. К., Протопоп А., Очерк из истории умственной жизни русского общества в XVII в., СПБ., 1898; изд. 2-е., СПБ., 1900</w:t>
      </w:r>
    </w:p>
    <w:p w:rsidR="002938F9" w:rsidRPr="00046422" w:rsidRDefault="002938F9" w:rsidP="002938F9">
      <w:pPr>
        <w:spacing w:before="120"/>
        <w:ind w:firstLine="567"/>
        <w:jc w:val="both"/>
      </w:pPr>
      <w:r w:rsidRPr="00046422">
        <w:t xml:space="preserve">Виноградов В. В., О задачах стилистики, Наблюдения над стилем «Жития» протопопа А., «Русская речь», сб. статей под ред. Л. В. Щербы, П., 1923.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8F9"/>
    <w:rsid w:val="00002B5A"/>
    <w:rsid w:val="00046422"/>
    <w:rsid w:val="0010437E"/>
    <w:rsid w:val="002938F9"/>
    <w:rsid w:val="00555A66"/>
    <w:rsid w:val="00616072"/>
    <w:rsid w:val="006A5004"/>
    <w:rsid w:val="00710178"/>
    <w:rsid w:val="008B35EE"/>
    <w:rsid w:val="00905CC1"/>
    <w:rsid w:val="00B42C45"/>
    <w:rsid w:val="00B47B6A"/>
    <w:rsid w:val="00D77D43"/>
    <w:rsid w:val="00F0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02555E-AE75-466C-9FF0-70F3723C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8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Протопоп Аввакум</vt:lpstr>
    </vt:vector>
  </TitlesOfParts>
  <Company>Home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Протопоп Аввакум</dc:title>
  <dc:subject/>
  <dc:creator>User</dc:creator>
  <cp:keywords/>
  <dc:description/>
  <cp:lastModifiedBy>admin</cp:lastModifiedBy>
  <cp:revision>2</cp:revision>
  <dcterms:created xsi:type="dcterms:W3CDTF">2014-02-15T04:11:00Z</dcterms:created>
  <dcterms:modified xsi:type="dcterms:W3CDTF">2014-02-15T04:11:00Z</dcterms:modified>
</cp:coreProperties>
</file>