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Развитие гражданского права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Развитие гражданского права в древности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Право собственности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результате разложения территориальной (соседской) общины поля, скот, рабы и т. д. стали объектами частного владения. Но еще долгое время сохранялись и некоторые остатки общинной собственности – общие пастбища, общие леса, воды, незанятые земли и др. Вначале землю брали на время (незакрепленная собственность или владение), но мало-помалу она превращалась в наследственное имущество на все времена (закрепленная собственность). Характерно, что закрепленная собственность обозначалась тогда термином “наследство”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Наследственное право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связи с развитием частной собственности установилось и некоторое ее наследственное преемство. Зажиточная верхушка была заинтересована в передаче своих богатств потомкам. В области наследственного права на территории Латвии сохранились следы двух принципов наследования. Иногда старший сын пользовался преимуществом, иногда – младший. Относительно наследования дочерьми в местном обычном праве существовало правило, что при наличии братьев сестры не наследуют. 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Семейное право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этот период на территории Латвии брак имел характер договорного соглашения. У латышей существовал также древний ритуал обручения – предварительного соглашения по всем вопросам, связанным с заключением брака. Семья у древних народностей Латвии носила характер патриархальной. Следы главенства мужа сохранились в древне-крестьянском праве, написанном позднее немецкими феодалами. 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Обязательственное право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этот период через территорию Латвии велась транзитная торговля соседних стран, однако местные народности мало в ней участвовали. Поэтому и не особенно было развито местное договорное право. Однако общее представление о мене, купле, долге и пр. существовало. Крестьянское право, написанное немецкими завоевателями, упоминает долговые отношения, которые устанавливались либо на основании договора, либо на деликте. 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2. Гражданское право во времена Ливонии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Право собственности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Право собственности крестьянина, основанное на личном труде, относилось к его индивидуальному хозяйству. В период завоевания Прибалтики немецкие феодалы признавали право собственности крестьянина не только на мелкие средства производства и на вещи домашнего обихода, но также и на его земельный участок. Когда власть немецких феодалов в Ливонии окрепла, они перестали признавать за местным населением право собственности на землю. С развитием процесса всеобщего закрепощения местного населения Ливонии крестьяне стали принадлежностью земли. Они продавались и передавались по наследству вместе с землей. 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Наследственное право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Наследование по крестьянскому праву Ливонии охватывало универсальный комплекс материальных благ феодально-зависимого крестьянина – его орудия производства, скот, птицу, одежду и т. д. Кроме того, наследник приобретал право пользования полями, лугами и пчеловодческим инвентарем, которыми пользовался умерший наследодатель при жизни. Характерно, что мужская линия наследников имела некоторое преимущество. Только при отсутствии сыновей наследовали дочери и вдова умершего крестьянина. В состав наследственной массы входили также и долги наследодателя. 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Семейное право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Семейное право крестьян основывалось на церковном браке римско-католической церкви, позже – лютеранской религии. Однако существовали также пережитки дохристианских форм установления брака (элементы похищения невесты и др. ) Крестьянское право Ливонии препятствовало также самовольному уходу мужа от жены, ибо римско-католическая церковь вообще запрещает развод. </w:t>
      </w:r>
    </w:p>
    <w:p w:rsidR="00126E36" w:rsidRDefault="00126E36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Обязательственное право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Торговля в Ливонии находилась главным образом в руках немецких завоевателей. Среди местного крестьянства торговля была слабо развита. Крестьянское право Ливонии регулировало долговые отношения. Иногда долг обеспечивался ручным закладом. Предусмотрена была также примитивная форма договора о товариществе. Имущественный ущерб возмещался соответствующим вознаграждением. 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Проявление господства немецких дворян в гражданском праве во времена Курляндского герцогства. 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Законы Курляндского герцогства признавали право собственности на родовые вотчины только за родовитыми немецкими дворянами. Лицам неродовитым и иностранцам строго-настрого запрещалось приобретать такие имения. Родовые вотчины отчуждались и завещались только лицам данного рода. Обыкновенно они переходили по наследству к старшему сыну. Существенной принадлежностью родовых вотчин считались населявшие их крестьяне в качестве крепостных рабов, или вещей в юридическом смысле. </w:t>
      </w:r>
    </w:p>
    <w:p w:rsidR="00126E36" w:rsidRDefault="00126E3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26E3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1853"/>
    <w:rsid w:val="00126E36"/>
    <w:rsid w:val="00603CC3"/>
    <w:rsid w:val="00793BD9"/>
    <w:rsid w:val="00B21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EEAE2F4-6E35-4157-A467-10422E38A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kern w:val="36"/>
      <w:sz w:val="34"/>
      <w:szCs w:val="34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rFonts w:ascii="Arial" w:hAnsi="Arial" w:cs="Arial"/>
      <w:b/>
      <w:bCs/>
      <w:sz w:val="29"/>
      <w:szCs w:val="29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  <w:sz w:val="18"/>
      <w:szCs w:val="18"/>
    </w:rPr>
  </w:style>
  <w:style w:type="character" w:styleId="a4">
    <w:name w:val="Strong"/>
    <w:uiPriority w:val="99"/>
    <w:qFormat/>
    <w:rPr>
      <w:b/>
      <w:bCs/>
    </w:rPr>
  </w:style>
  <w:style w:type="character" w:styleId="a5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672</Words>
  <Characters>3833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Развитие гражданского права</vt:lpstr>
    </vt:vector>
  </TitlesOfParts>
  <Company>PERSONAL COMPUTERS</Company>
  <LinksUpToDate>false</LinksUpToDate>
  <CharactersWithSpaces>4497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Развитие гражданского права</dc:title>
  <dc:subject/>
  <dc:creator>USER</dc:creator>
  <cp:keywords/>
  <dc:description/>
  <cp:lastModifiedBy>admin</cp:lastModifiedBy>
  <cp:revision>2</cp:revision>
  <dcterms:created xsi:type="dcterms:W3CDTF">2014-02-03T18:35:00Z</dcterms:created>
  <dcterms:modified xsi:type="dcterms:W3CDTF">2014-02-03T18:35:00Z</dcterms:modified>
</cp:coreProperties>
</file>