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655" w:rsidRPr="00E070C0" w:rsidRDefault="00F62655" w:rsidP="00E070C0">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r w:rsidRPr="00E070C0">
        <w:rPr>
          <w:rFonts w:ascii="Times New Roman" w:hAnsi="Times New Roman"/>
          <w:b/>
          <w:sz w:val="28"/>
          <w:szCs w:val="28"/>
        </w:rPr>
        <w:t>ФЕДЕРАЛЬНОЕ АГЕНТСТВО ПО ОБРАЗОВАНИЮ ГОУ ВПО РОСТОВСКОЙ ОБЛАСТИ</w:t>
      </w:r>
    </w:p>
    <w:p w:rsidR="00F62655" w:rsidRPr="00E070C0" w:rsidRDefault="00F62655" w:rsidP="00E070C0">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r w:rsidRPr="00E070C0">
        <w:rPr>
          <w:rFonts w:ascii="Times New Roman" w:hAnsi="Times New Roman"/>
          <w:b/>
          <w:sz w:val="28"/>
          <w:szCs w:val="28"/>
        </w:rPr>
        <w:t>РОСТОВСКИЙ ГОСУДАРСТВЕННЫЙ ЭКОНОМИЧЕСКИЙ УНИВЕРСИТЕТ «РИНХ»</w:t>
      </w:r>
    </w:p>
    <w:p w:rsidR="00F62655" w:rsidRPr="00E070C0" w:rsidRDefault="00F62655" w:rsidP="00E070C0">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r w:rsidRPr="00E070C0">
        <w:rPr>
          <w:rFonts w:ascii="Times New Roman" w:hAnsi="Times New Roman"/>
          <w:b/>
          <w:sz w:val="28"/>
          <w:szCs w:val="28"/>
        </w:rPr>
        <w:t>ФИНАНСОВЫЙ ФАКУЛЬТЕТ</w:t>
      </w:r>
    </w:p>
    <w:p w:rsidR="00F62655" w:rsidRPr="00E070C0" w:rsidRDefault="00F62655" w:rsidP="00E070C0">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r w:rsidRPr="00E070C0">
        <w:rPr>
          <w:rFonts w:ascii="Times New Roman" w:hAnsi="Times New Roman"/>
          <w:b/>
          <w:sz w:val="28"/>
          <w:szCs w:val="28"/>
        </w:rPr>
        <w:t>КАФЕДРА «Банковское дело»</w:t>
      </w:r>
    </w:p>
    <w:p w:rsidR="00F62655" w:rsidRPr="00E070C0" w:rsidRDefault="00F62655" w:rsidP="00E070C0">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p>
    <w:p w:rsidR="00F62655" w:rsidRPr="00E070C0" w:rsidRDefault="00F62655" w:rsidP="00E070C0">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p>
    <w:p w:rsidR="00F62655" w:rsidRPr="00E070C0" w:rsidRDefault="00F62655" w:rsidP="00E070C0">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p>
    <w:p w:rsidR="00F62655" w:rsidRPr="00E070C0" w:rsidRDefault="00F62655" w:rsidP="00E070C0">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p>
    <w:p w:rsidR="00F62655" w:rsidRPr="00E070C0" w:rsidRDefault="00F62655" w:rsidP="00E070C0">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p>
    <w:p w:rsidR="00F62655" w:rsidRPr="00E070C0" w:rsidRDefault="00E070C0" w:rsidP="00E070C0">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r w:rsidRPr="00E070C0">
        <w:rPr>
          <w:rFonts w:ascii="Times New Roman" w:hAnsi="Times New Roman"/>
          <w:b/>
          <w:sz w:val="28"/>
          <w:szCs w:val="28"/>
        </w:rPr>
        <w:t>ДОКЛАД</w:t>
      </w:r>
    </w:p>
    <w:p w:rsidR="00F62655" w:rsidRPr="00E070C0" w:rsidRDefault="00F62655" w:rsidP="00E070C0">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r w:rsidRPr="00E070C0">
        <w:rPr>
          <w:rFonts w:ascii="Times New Roman" w:hAnsi="Times New Roman"/>
          <w:b/>
          <w:sz w:val="28"/>
          <w:szCs w:val="28"/>
        </w:rPr>
        <w:t>по курсу: «Инвестиции»</w:t>
      </w:r>
    </w:p>
    <w:p w:rsidR="00F62655" w:rsidRPr="00E070C0" w:rsidRDefault="00F62655" w:rsidP="00E070C0">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r w:rsidRPr="00E070C0">
        <w:rPr>
          <w:rFonts w:ascii="Times New Roman" w:hAnsi="Times New Roman"/>
          <w:b/>
          <w:sz w:val="28"/>
          <w:szCs w:val="28"/>
        </w:rPr>
        <w:t>на тему:</w:t>
      </w:r>
    </w:p>
    <w:p w:rsidR="00F62655" w:rsidRPr="00E070C0" w:rsidRDefault="00F62655" w:rsidP="00E070C0">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r w:rsidRPr="00E070C0">
        <w:rPr>
          <w:rFonts w:ascii="Times New Roman" w:hAnsi="Times New Roman"/>
          <w:b/>
          <w:sz w:val="28"/>
          <w:szCs w:val="28"/>
        </w:rPr>
        <w:t>«Развитие рынка облигаций в современной России»</w:t>
      </w:r>
    </w:p>
    <w:p w:rsidR="00F62655" w:rsidRPr="00E070C0" w:rsidRDefault="00F62655" w:rsidP="00E070C0">
      <w:pPr>
        <w:widowControl w:val="0"/>
        <w:overflowPunct w:val="0"/>
        <w:autoSpaceDE w:val="0"/>
        <w:autoSpaceDN w:val="0"/>
        <w:adjustRightInd w:val="0"/>
        <w:spacing w:after="0" w:line="360" w:lineRule="auto"/>
        <w:jc w:val="center"/>
        <w:textAlignment w:val="baseline"/>
        <w:rPr>
          <w:rFonts w:ascii="Times New Roman" w:hAnsi="Times New Roman"/>
          <w:sz w:val="28"/>
          <w:szCs w:val="28"/>
        </w:rPr>
      </w:pPr>
    </w:p>
    <w:p w:rsidR="00F62655" w:rsidRPr="00E070C0" w:rsidRDefault="00F62655" w:rsidP="00E070C0">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p>
    <w:p w:rsidR="00F62655" w:rsidRPr="00E070C0" w:rsidRDefault="00F62655" w:rsidP="00E070C0">
      <w:pPr>
        <w:widowControl w:val="0"/>
        <w:overflowPunct w:val="0"/>
        <w:autoSpaceDE w:val="0"/>
        <w:autoSpaceDN w:val="0"/>
        <w:adjustRightInd w:val="0"/>
        <w:spacing w:after="0" w:line="360" w:lineRule="auto"/>
        <w:jc w:val="center"/>
        <w:textAlignment w:val="baseline"/>
        <w:rPr>
          <w:rFonts w:ascii="Times New Roman" w:hAnsi="Times New Roman"/>
          <w:sz w:val="28"/>
          <w:szCs w:val="28"/>
        </w:rPr>
      </w:pPr>
    </w:p>
    <w:p w:rsidR="00F62655" w:rsidRPr="00E070C0" w:rsidRDefault="00F62655" w:rsidP="00E070C0">
      <w:pPr>
        <w:widowControl w:val="0"/>
        <w:overflowPunct w:val="0"/>
        <w:autoSpaceDE w:val="0"/>
        <w:autoSpaceDN w:val="0"/>
        <w:adjustRightInd w:val="0"/>
        <w:spacing w:after="0" w:line="360" w:lineRule="auto"/>
        <w:jc w:val="center"/>
        <w:textAlignment w:val="baseline"/>
        <w:rPr>
          <w:rFonts w:ascii="Times New Roman" w:hAnsi="Times New Roman"/>
          <w:sz w:val="28"/>
          <w:szCs w:val="28"/>
        </w:rPr>
      </w:pPr>
    </w:p>
    <w:p w:rsidR="00F62655" w:rsidRPr="00E070C0" w:rsidRDefault="00F62655" w:rsidP="00E070C0">
      <w:pPr>
        <w:widowControl w:val="0"/>
        <w:overflowPunct w:val="0"/>
        <w:autoSpaceDE w:val="0"/>
        <w:autoSpaceDN w:val="0"/>
        <w:adjustRightInd w:val="0"/>
        <w:spacing w:after="0" w:line="360" w:lineRule="auto"/>
        <w:jc w:val="right"/>
        <w:textAlignment w:val="baseline"/>
        <w:rPr>
          <w:rFonts w:ascii="Times New Roman" w:hAnsi="Times New Roman"/>
          <w:sz w:val="28"/>
          <w:szCs w:val="28"/>
        </w:rPr>
      </w:pPr>
      <w:r w:rsidRPr="00E070C0">
        <w:rPr>
          <w:rFonts w:ascii="Times New Roman" w:hAnsi="Times New Roman"/>
          <w:sz w:val="28"/>
          <w:szCs w:val="28"/>
        </w:rPr>
        <w:t>Выполнена студентом</w:t>
      </w:r>
    </w:p>
    <w:p w:rsidR="00F62655" w:rsidRPr="00E070C0" w:rsidRDefault="00F62655" w:rsidP="00E070C0">
      <w:pPr>
        <w:widowControl w:val="0"/>
        <w:overflowPunct w:val="0"/>
        <w:autoSpaceDE w:val="0"/>
        <w:autoSpaceDN w:val="0"/>
        <w:adjustRightInd w:val="0"/>
        <w:spacing w:after="0" w:line="360" w:lineRule="auto"/>
        <w:jc w:val="right"/>
        <w:textAlignment w:val="baseline"/>
        <w:rPr>
          <w:rFonts w:ascii="Times New Roman" w:hAnsi="Times New Roman"/>
          <w:sz w:val="28"/>
          <w:szCs w:val="28"/>
        </w:rPr>
      </w:pPr>
      <w:r w:rsidRPr="00E070C0">
        <w:rPr>
          <w:rFonts w:ascii="Times New Roman" w:hAnsi="Times New Roman"/>
          <w:sz w:val="28"/>
          <w:szCs w:val="28"/>
        </w:rPr>
        <w:t>Финансового факультета группы</w:t>
      </w:r>
    </w:p>
    <w:p w:rsidR="00F62655" w:rsidRPr="00E070C0" w:rsidRDefault="00F62655" w:rsidP="00E070C0">
      <w:pPr>
        <w:widowControl w:val="0"/>
        <w:overflowPunct w:val="0"/>
        <w:autoSpaceDE w:val="0"/>
        <w:autoSpaceDN w:val="0"/>
        <w:adjustRightInd w:val="0"/>
        <w:spacing w:after="0" w:line="360" w:lineRule="auto"/>
        <w:jc w:val="right"/>
        <w:textAlignment w:val="baseline"/>
        <w:rPr>
          <w:rFonts w:ascii="Times New Roman" w:hAnsi="Times New Roman"/>
          <w:sz w:val="28"/>
          <w:szCs w:val="28"/>
        </w:rPr>
      </w:pPr>
      <w:r w:rsidRPr="00E070C0">
        <w:rPr>
          <w:rFonts w:ascii="Times New Roman" w:hAnsi="Times New Roman"/>
          <w:sz w:val="28"/>
          <w:szCs w:val="28"/>
        </w:rPr>
        <w:t>зачетная книжка №</w:t>
      </w:r>
    </w:p>
    <w:p w:rsidR="00F62655" w:rsidRPr="00E070C0" w:rsidRDefault="00F62655" w:rsidP="00E070C0">
      <w:pPr>
        <w:widowControl w:val="0"/>
        <w:overflowPunct w:val="0"/>
        <w:autoSpaceDE w:val="0"/>
        <w:autoSpaceDN w:val="0"/>
        <w:adjustRightInd w:val="0"/>
        <w:spacing w:after="0" w:line="360" w:lineRule="auto"/>
        <w:jc w:val="right"/>
        <w:textAlignment w:val="baseline"/>
        <w:rPr>
          <w:rFonts w:ascii="Times New Roman" w:hAnsi="Times New Roman"/>
          <w:sz w:val="28"/>
          <w:szCs w:val="28"/>
        </w:rPr>
      </w:pPr>
      <w:r w:rsidRPr="00E070C0">
        <w:rPr>
          <w:rFonts w:ascii="Times New Roman" w:hAnsi="Times New Roman"/>
          <w:sz w:val="28"/>
          <w:szCs w:val="28"/>
        </w:rPr>
        <w:t>Научный руководитель:</w:t>
      </w:r>
    </w:p>
    <w:p w:rsidR="00F62655" w:rsidRPr="00E070C0" w:rsidRDefault="00F62655" w:rsidP="00E070C0">
      <w:pPr>
        <w:widowControl w:val="0"/>
        <w:overflowPunct w:val="0"/>
        <w:autoSpaceDE w:val="0"/>
        <w:autoSpaceDN w:val="0"/>
        <w:adjustRightInd w:val="0"/>
        <w:spacing w:after="0" w:line="360" w:lineRule="auto"/>
        <w:jc w:val="right"/>
        <w:textAlignment w:val="baseline"/>
        <w:rPr>
          <w:rFonts w:ascii="Times New Roman" w:hAnsi="Times New Roman"/>
          <w:sz w:val="28"/>
          <w:szCs w:val="28"/>
        </w:rPr>
      </w:pPr>
      <w:r w:rsidRPr="00E070C0">
        <w:rPr>
          <w:rFonts w:ascii="Times New Roman" w:hAnsi="Times New Roman"/>
          <w:sz w:val="28"/>
          <w:szCs w:val="28"/>
        </w:rPr>
        <w:t>к.э.н.</w:t>
      </w:r>
    </w:p>
    <w:p w:rsidR="00F62655" w:rsidRPr="00E070C0" w:rsidRDefault="00F62655" w:rsidP="00E070C0">
      <w:pPr>
        <w:widowControl w:val="0"/>
        <w:overflowPunct w:val="0"/>
        <w:autoSpaceDE w:val="0"/>
        <w:autoSpaceDN w:val="0"/>
        <w:adjustRightInd w:val="0"/>
        <w:spacing w:after="0" w:line="360" w:lineRule="auto"/>
        <w:jc w:val="center"/>
        <w:textAlignment w:val="baseline"/>
        <w:rPr>
          <w:rFonts w:ascii="Times New Roman" w:hAnsi="Times New Roman"/>
          <w:b/>
          <w:sz w:val="28"/>
          <w:szCs w:val="28"/>
        </w:rPr>
      </w:pPr>
    </w:p>
    <w:p w:rsidR="00F62655" w:rsidRPr="00E070C0" w:rsidRDefault="00F62655" w:rsidP="00E070C0">
      <w:pPr>
        <w:widowControl w:val="0"/>
        <w:overflowPunct w:val="0"/>
        <w:autoSpaceDE w:val="0"/>
        <w:autoSpaceDN w:val="0"/>
        <w:adjustRightInd w:val="0"/>
        <w:spacing w:after="0" w:line="360" w:lineRule="auto"/>
        <w:jc w:val="center"/>
        <w:textAlignment w:val="baseline"/>
        <w:rPr>
          <w:rFonts w:ascii="Times New Roman" w:hAnsi="Times New Roman"/>
          <w:sz w:val="28"/>
          <w:szCs w:val="28"/>
        </w:rPr>
      </w:pPr>
    </w:p>
    <w:p w:rsidR="00F62655" w:rsidRPr="00E070C0" w:rsidRDefault="00F62655" w:rsidP="00E070C0">
      <w:pPr>
        <w:widowControl w:val="0"/>
        <w:overflowPunct w:val="0"/>
        <w:autoSpaceDE w:val="0"/>
        <w:autoSpaceDN w:val="0"/>
        <w:adjustRightInd w:val="0"/>
        <w:spacing w:after="0" w:line="360" w:lineRule="auto"/>
        <w:jc w:val="center"/>
        <w:textAlignment w:val="baseline"/>
        <w:rPr>
          <w:rFonts w:ascii="Times New Roman" w:hAnsi="Times New Roman"/>
          <w:sz w:val="28"/>
          <w:szCs w:val="28"/>
        </w:rPr>
      </w:pPr>
    </w:p>
    <w:p w:rsidR="00F62655" w:rsidRPr="00E070C0" w:rsidRDefault="00F62655" w:rsidP="00E070C0">
      <w:pPr>
        <w:widowControl w:val="0"/>
        <w:overflowPunct w:val="0"/>
        <w:autoSpaceDE w:val="0"/>
        <w:autoSpaceDN w:val="0"/>
        <w:adjustRightInd w:val="0"/>
        <w:spacing w:after="0" w:line="360" w:lineRule="auto"/>
        <w:jc w:val="center"/>
        <w:textAlignment w:val="baseline"/>
        <w:rPr>
          <w:rFonts w:ascii="Times New Roman" w:hAnsi="Times New Roman"/>
          <w:sz w:val="28"/>
          <w:szCs w:val="28"/>
        </w:rPr>
      </w:pPr>
      <w:r w:rsidRPr="00E070C0">
        <w:rPr>
          <w:rFonts w:ascii="Times New Roman" w:hAnsi="Times New Roman"/>
          <w:sz w:val="28"/>
          <w:szCs w:val="28"/>
        </w:rPr>
        <w:t>Ростов-на-Дону</w:t>
      </w:r>
    </w:p>
    <w:p w:rsidR="00F62655" w:rsidRPr="00E070C0" w:rsidRDefault="00F62655" w:rsidP="00E070C0">
      <w:pPr>
        <w:widowControl w:val="0"/>
        <w:overflowPunct w:val="0"/>
        <w:autoSpaceDE w:val="0"/>
        <w:autoSpaceDN w:val="0"/>
        <w:adjustRightInd w:val="0"/>
        <w:spacing w:after="0" w:line="360" w:lineRule="auto"/>
        <w:jc w:val="center"/>
        <w:textAlignment w:val="baseline"/>
        <w:rPr>
          <w:rFonts w:ascii="Times New Roman" w:hAnsi="Times New Roman"/>
          <w:sz w:val="28"/>
          <w:szCs w:val="28"/>
        </w:rPr>
      </w:pPr>
      <w:r w:rsidRPr="00E070C0">
        <w:rPr>
          <w:rFonts w:ascii="Times New Roman" w:hAnsi="Times New Roman"/>
          <w:sz w:val="28"/>
          <w:szCs w:val="28"/>
        </w:rPr>
        <w:t>2009</w:t>
      </w:r>
    </w:p>
    <w:p w:rsidR="00E070C0" w:rsidRDefault="00E070C0">
      <w:pPr>
        <w:rPr>
          <w:rFonts w:ascii="Times New Roman" w:hAnsi="Times New Roman"/>
          <w:sz w:val="28"/>
          <w:szCs w:val="28"/>
        </w:rPr>
      </w:pPr>
      <w:r>
        <w:rPr>
          <w:rFonts w:ascii="Times New Roman" w:hAnsi="Times New Roman"/>
          <w:sz w:val="28"/>
          <w:szCs w:val="28"/>
        </w:rPr>
        <w:br w:type="page"/>
      </w:r>
    </w:p>
    <w:p w:rsidR="00F62655" w:rsidRPr="00E070C0" w:rsidRDefault="00F62655" w:rsidP="00E070C0">
      <w:pPr>
        <w:widowControl w:val="0"/>
        <w:spacing w:after="0" w:line="360" w:lineRule="auto"/>
        <w:contextualSpacing/>
        <w:rPr>
          <w:rFonts w:ascii="Times New Roman" w:hAnsi="Times New Roman"/>
          <w:b/>
          <w:sz w:val="28"/>
          <w:szCs w:val="28"/>
        </w:rPr>
      </w:pPr>
      <w:r w:rsidRPr="00E070C0">
        <w:rPr>
          <w:rFonts w:ascii="Times New Roman" w:hAnsi="Times New Roman"/>
          <w:b/>
          <w:sz w:val="28"/>
          <w:szCs w:val="28"/>
        </w:rPr>
        <w:t>Содержание</w:t>
      </w:r>
    </w:p>
    <w:p w:rsidR="00E070C0" w:rsidRPr="00E070C0" w:rsidRDefault="00E070C0" w:rsidP="00E070C0">
      <w:pPr>
        <w:widowControl w:val="0"/>
        <w:spacing w:after="0" w:line="360" w:lineRule="auto"/>
        <w:contextualSpacing/>
        <w:rPr>
          <w:rFonts w:ascii="Times New Roman" w:hAnsi="Times New Roman"/>
          <w:sz w:val="28"/>
          <w:szCs w:val="28"/>
        </w:rPr>
      </w:pPr>
    </w:p>
    <w:p w:rsidR="00F62655" w:rsidRPr="00E070C0" w:rsidRDefault="00F62655" w:rsidP="00E070C0">
      <w:pPr>
        <w:pStyle w:val="a5"/>
        <w:widowControl w:val="0"/>
        <w:spacing w:after="0" w:line="360" w:lineRule="auto"/>
        <w:ind w:left="0"/>
        <w:rPr>
          <w:rFonts w:ascii="Times New Roman" w:hAnsi="Times New Roman"/>
          <w:sz w:val="28"/>
          <w:szCs w:val="28"/>
        </w:rPr>
      </w:pPr>
      <w:r w:rsidRPr="00E070C0">
        <w:rPr>
          <w:rFonts w:ascii="Times New Roman" w:hAnsi="Times New Roman"/>
          <w:sz w:val="28"/>
          <w:szCs w:val="28"/>
        </w:rPr>
        <w:t>Введение</w:t>
      </w:r>
    </w:p>
    <w:p w:rsidR="00B05DEF" w:rsidRPr="00E070C0" w:rsidRDefault="00B05DEF" w:rsidP="00E070C0">
      <w:pPr>
        <w:widowControl w:val="0"/>
        <w:numPr>
          <w:ilvl w:val="0"/>
          <w:numId w:val="1"/>
        </w:numPr>
        <w:spacing w:after="0" w:line="360" w:lineRule="auto"/>
        <w:ind w:left="0" w:firstLine="0"/>
        <w:rPr>
          <w:rFonts w:ascii="Times New Roman" w:hAnsi="Times New Roman"/>
          <w:sz w:val="28"/>
          <w:szCs w:val="28"/>
        </w:rPr>
      </w:pPr>
      <w:r w:rsidRPr="00E070C0">
        <w:rPr>
          <w:rFonts w:ascii="Times New Roman" w:hAnsi="Times New Roman"/>
          <w:sz w:val="28"/>
          <w:szCs w:val="28"/>
        </w:rPr>
        <w:t>Облигации как вид ценных бумаг</w:t>
      </w:r>
    </w:p>
    <w:p w:rsidR="0041714B" w:rsidRPr="00E070C0" w:rsidRDefault="0041714B" w:rsidP="00E070C0">
      <w:pPr>
        <w:pStyle w:val="1"/>
        <w:keepNext w:val="0"/>
        <w:widowControl w:val="0"/>
        <w:numPr>
          <w:ilvl w:val="0"/>
          <w:numId w:val="1"/>
        </w:numPr>
        <w:ind w:left="0" w:firstLine="0"/>
        <w:jc w:val="left"/>
        <w:rPr>
          <w:b w:val="0"/>
          <w:lang w:val="ru-RU"/>
        </w:rPr>
      </w:pPr>
      <w:r w:rsidRPr="00E070C0">
        <w:rPr>
          <w:b w:val="0"/>
          <w:lang w:val="ru-RU"/>
        </w:rPr>
        <w:t>Современные российские облигации</w:t>
      </w:r>
    </w:p>
    <w:p w:rsidR="00F62655" w:rsidRPr="00E070C0" w:rsidRDefault="00F62655" w:rsidP="00E070C0">
      <w:pPr>
        <w:pStyle w:val="a5"/>
        <w:widowControl w:val="0"/>
        <w:spacing w:after="0" w:line="360" w:lineRule="auto"/>
        <w:ind w:left="0"/>
        <w:rPr>
          <w:rFonts w:ascii="Times New Roman" w:hAnsi="Times New Roman"/>
          <w:sz w:val="28"/>
          <w:szCs w:val="28"/>
        </w:rPr>
      </w:pPr>
      <w:r w:rsidRPr="00E070C0">
        <w:rPr>
          <w:rFonts w:ascii="Times New Roman" w:hAnsi="Times New Roman"/>
          <w:sz w:val="28"/>
          <w:szCs w:val="28"/>
        </w:rPr>
        <w:t>Заключение</w:t>
      </w:r>
    </w:p>
    <w:p w:rsidR="00F62655" w:rsidRPr="00E070C0" w:rsidRDefault="00F62655" w:rsidP="00E070C0">
      <w:pPr>
        <w:pStyle w:val="a5"/>
        <w:widowControl w:val="0"/>
        <w:spacing w:after="0" w:line="360" w:lineRule="auto"/>
        <w:ind w:left="0"/>
        <w:rPr>
          <w:rFonts w:ascii="Times New Roman" w:hAnsi="Times New Roman"/>
          <w:sz w:val="28"/>
          <w:szCs w:val="28"/>
        </w:rPr>
      </w:pPr>
      <w:r w:rsidRPr="00E070C0">
        <w:rPr>
          <w:rFonts w:ascii="Times New Roman" w:hAnsi="Times New Roman"/>
          <w:sz w:val="28"/>
          <w:szCs w:val="28"/>
        </w:rPr>
        <w:t>Список литературы</w:t>
      </w:r>
    </w:p>
    <w:p w:rsidR="00F62655" w:rsidRPr="00E070C0" w:rsidRDefault="00F62655" w:rsidP="00E070C0">
      <w:pPr>
        <w:pStyle w:val="a5"/>
        <w:widowControl w:val="0"/>
        <w:spacing w:after="0" w:line="360" w:lineRule="auto"/>
        <w:ind w:left="0"/>
        <w:rPr>
          <w:rFonts w:ascii="Times New Roman" w:hAnsi="Times New Roman"/>
          <w:sz w:val="28"/>
          <w:szCs w:val="28"/>
        </w:rPr>
      </w:pPr>
    </w:p>
    <w:p w:rsidR="00E070C0" w:rsidRDefault="00E070C0">
      <w:pPr>
        <w:rPr>
          <w:rFonts w:ascii="Times New Roman" w:hAnsi="Times New Roman"/>
          <w:sz w:val="28"/>
          <w:szCs w:val="28"/>
        </w:rPr>
      </w:pPr>
      <w:r>
        <w:rPr>
          <w:rFonts w:ascii="Times New Roman" w:hAnsi="Times New Roman"/>
          <w:sz w:val="28"/>
          <w:szCs w:val="28"/>
        </w:rPr>
        <w:br w:type="page"/>
      </w:r>
    </w:p>
    <w:p w:rsidR="00F62655" w:rsidRPr="00E070C0" w:rsidRDefault="00F62655" w:rsidP="00E070C0">
      <w:pPr>
        <w:pStyle w:val="a5"/>
        <w:widowControl w:val="0"/>
        <w:spacing w:after="0" w:line="360" w:lineRule="auto"/>
        <w:ind w:left="709"/>
        <w:jc w:val="both"/>
        <w:rPr>
          <w:rFonts w:ascii="Times New Roman" w:hAnsi="Times New Roman"/>
          <w:b/>
          <w:sz w:val="28"/>
          <w:szCs w:val="28"/>
        </w:rPr>
      </w:pPr>
      <w:r w:rsidRPr="00E070C0">
        <w:rPr>
          <w:rFonts w:ascii="Times New Roman" w:hAnsi="Times New Roman"/>
          <w:b/>
          <w:sz w:val="28"/>
          <w:szCs w:val="28"/>
        </w:rPr>
        <w:t>Введение</w:t>
      </w:r>
    </w:p>
    <w:p w:rsidR="00F62655" w:rsidRPr="00E070C0" w:rsidRDefault="00F62655" w:rsidP="00E070C0">
      <w:pPr>
        <w:pStyle w:val="a6"/>
        <w:widowControl w:val="0"/>
        <w:ind w:firstLine="709"/>
        <w:contextualSpacing/>
      </w:pPr>
    </w:p>
    <w:p w:rsidR="00F62655" w:rsidRPr="00E070C0" w:rsidRDefault="00F62655" w:rsidP="00E070C0">
      <w:pPr>
        <w:pStyle w:val="a7"/>
        <w:widowControl w:val="0"/>
        <w:ind w:firstLine="709"/>
        <w:contextualSpacing/>
      </w:pPr>
      <w:r w:rsidRPr="00E070C0">
        <w:t xml:space="preserve">Рынок ценных бумаг (фондовый рынок) — это часть финансового рынка (наряду с рынком ссудного капитала, валютным рынком и рынком золота). </w:t>
      </w:r>
    </w:p>
    <w:p w:rsidR="00F62655" w:rsidRPr="00E070C0" w:rsidRDefault="00F62655" w:rsidP="00E070C0">
      <w:pPr>
        <w:pStyle w:val="a6"/>
        <w:widowControl w:val="0"/>
        <w:ind w:firstLine="709"/>
        <w:contextualSpacing/>
      </w:pPr>
      <w:r w:rsidRPr="00E070C0">
        <w:t>Ценные бумаги играют значительную роль в платежном обороте государства, в мобилизации инвестиций. Совокупность ценных бумаг в обращении составляет основу фондового рынка, который является регулирующим элементом экономики. Он способствует перемещению капитала от инвесторов, имеющих свободные денежные ресурсы, к эмитентам ценных бумаг. Рынок ценных бумаг является наиболее активной частью современного финансового рынка России и позволяет реализовать разнообразные интересы эмитентов, инвесторов и посредников. Значение рынка ценных бумаг как составной части финансового рынка продолжает возрастать.</w:t>
      </w:r>
    </w:p>
    <w:p w:rsidR="00F62655" w:rsidRPr="00E070C0" w:rsidRDefault="00F62655" w:rsidP="00E070C0">
      <w:pPr>
        <w:pStyle w:val="a6"/>
        <w:widowControl w:val="0"/>
        <w:ind w:firstLine="709"/>
        <w:contextualSpacing/>
      </w:pPr>
      <w:r w:rsidRPr="00E070C0">
        <w:t>К ценным бумагам в РФ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r w:rsidR="00E070C0">
        <w:t xml:space="preserve"> </w:t>
      </w:r>
      <w:r w:rsidRPr="00E070C0">
        <w:t>Облигации и акции в развитой рыночной экономике - главные инструменты привлечения компаниями небанковских денег. Отличие между акциями и облигациями простое. Акция дает ее собственнику право на часть капитала компании, но не дает право требовать возврата долга. Облигация, наоборот, никаких прав на собственность и имущество не дает, но зато позволяет требовать возврата инвестированных средств. По гражданскому кондексу, облигацией признается та бумага, которая дает ее держателю право на получение ее номинальной стоимости, а в некоторых случаях и право на получение фиксированного процента от ее номинальной стоимости.</w:t>
      </w:r>
    </w:p>
    <w:p w:rsidR="00E070C0" w:rsidRDefault="00E070C0">
      <w:pPr>
        <w:rPr>
          <w:rFonts w:ascii="Times New Roman" w:hAnsi="Times New Roman"/>
          <w:b/>
          <w:sz w:val="28"/>
          <w:szCs w:val="28"/>
        </w:rPr>
      </w:pPr>
      <w:r>
        <w:rPr>
          <w:rFonts w:ascii="Times New Roman" w:hAnsi="Times New Roman"/>
          <w:b/>
          <w:sz w:val="28"/>
          <w:szCs w:val="28"/>
        </w:rPr>
        <w:br w:type="page"/>
      </w:r>
    </w:p>
    <w:p w:rsidR="00B05DEF" w:rsidRPr="00E070C0" w:rsidRDefault="00B05DEF" w:rsidP="00E070C0">
      <w:pPr>
        <w:pStyle w:val="a5"/>
        <w:widowControl w:val="0"/>
        <w:spacing w:after="0" w:line="360" w:lineRule="auto"/>
        <w:ind w:left="0" w:firstLine="709"/>
        <w:jc w:val="both"/>
        <w:rPr>
          <w:rFonts w:ascii="Times New Roman" w:hAnsi="Times New Roman"/>
          <w:b/>
          <w:sz w:val="28"/>
          <w:szCs w:val="28"/>
        </w:rPr>
      </w:pPr>
      <w:r w:rsidRPr="00E070C0">
        <w:rPr>
          <w:rFonts w:ascii="Times New Roman" w:hAnsi="Times New Roman"/>
          <w:b/>
          <w:sz w:val="28"/>
          <w:szCs w:val="28"/>
        </w:rPr>
        <w:t>2. Облигации как вид ценных бумаг</w:t>
      </w:r>
    </w:p>
    <w:p w:rsidR="00E070C0" w:rsidRDefault="00E070C0" w:rsidP="00E070C0">
      <w:pPr>
        <w:pStyle w:val="a6"/>
        <w:widowControl w:val="0"/>
        <w:ind w:firstLine="709"/>
      </w:pPr>
    </w:p>
    <w:p w:rsidR="00B05DEF" w:rsidRPr="00E070C0" w:rsidRDefault="00B05DEF" w:rsidP="00E070C0">
      <w:pPr>
        <w:pStyle w:val="a6"/>
        <w:widowControl w:val="0"/>
        <w:ind w:firstLine="709"/>
      </w:pPr>
      <w:r w:rsidRPr="00E070C0">
        <w:t xml:space="preserve">Облигация — эмиссионная ценная бумага, содержащая обязательство эмитента выплатить ее владельцу (кредитору) номинальную стоимость по окончании установленного срока и периодически выплачивать определенный процент от ее стоимости. </w:t>
      </w:r>
    </w:p>
    <w:p w:rsidR="00B05DEF" w:rsidRPr="00E070C0" w:rsidRDefault="00B05DEF" w:rsidP="00E070C0">
      <w:pPr>
        <w:pStyle w:val="a6"/>
        <w:widowControl w:val="0"/>
        <w:ind w:firstLine="709"/>
      </w:pPr>
      <w:r w:rsidRPr="00E070C0">
        <w:t xml:space="preserve">Облигации выпускаются государством, местными органами власти или компаниями в форме ценных бумаг с фиксированной или переменной процентной ставкой. Большая часть облигаций не имеет обеспечения и не дает права на участие в управлении. </w:t>
      </w:r>
    </w:p>
    <w:p w:rsidR="00B05DEF" w:rsidRPr="00E070C0" w:rsidRDefault="00B05DEF" w:rsidP="00E070C0">
      <w:pPr>
        <w:pStyle w:val="a6"/>
        <w:widowControl w:val="0"/>
        <w:ind w:firstLine="709"/>
      </w:pPr>
      <w:r w:rsidRPr="00E070C0">
        <w:t xml:space="preserve">Наиболее важное отличие облигации от акции состоит в том, что облигация представляет собой долговое обязательство эмитента, т.е. предоставленный ему кредит, оформленный в виде ценной бумаги. Все платежи по облигации эмитент должен осуществлять в первую очередь по сравнению с акциями и в обязательном порядке. Платежи обеспечиваются имуществом эмитента. </w:t>
      </w:r>
    </w:p>
    <w:p w:rsidR="00B05DEF" w:rsidRPr="00E070C0" w:rsidRDefault="00B05DEF" w:rsidP="00E070C0">
      <w:pPr>
        <w:pStyle w:val="a6"/>
        <w:widowControl w:val="0"/>
        <w:ind w:firstLine="709"/>
      </w:pPr>
      <w:r w:rsidRPr="00E070C0">
        <w:t>В отличие от дивиденда по акциям, процент по облигациям является фиксированным. В отличие от инвестиций в акции, инвестиции в облигации не делают инвестора собственником выпустившей их компании. Процент по облигации выплачивают как минимум один раз в год независимо от финансового состояния эмитента.</w:t>
      </w:r>
    </w:p>
    <w:p w:rsidR="00B05DEF" w:rsidRPr="00E070C0" w:rsidRDefault="00B05DEF" w:rsidP="00E070C0">
      <w:pPr>
        <w:pStyle w:val="a6"/>
        <w:widowControl w:val="0"/>
        <w:ind w:firstLine="709"/>
      </w:pPr>
      <w:r w:rsidRPr="00E070C0">
        <w:t>Инвестиции в облигации — наиболее надежное вложение средств на рынке ценных бумаг.</w:t>
      </w:r>
    </w:p>
    <w:p w:rsidR="00F62655" w:rsidRPr="00E070C0" w:rsidRDefault="00F62655" w:rsidP="00E070C0">
      <w:pPr>
        <w:pStyle w:val="a5"/>
        <w:widowControl w:val="0"/>
        <w:spacing w:after="0" w:line="360" w:lineRule="auto"/>
        <w:ind w:left="0" w:firstLine="709"/>
        <w:jc w:val="both"/>
        <w:rPr>
          <w:rFonts w:ascii="Times New Roman" w:hAnsi="Times New Roman"/>
          <w:sz w:val="28"/>
          <w:szCs w:val="28"/>
        </w:rPr>
      </w:pPr>
      <w:r w:rsidRPr="00E070C0">
        <w:rPr>
          <w:rFonts w:ascii="Times New Roman" w:hAnsi="Times New Roman"/>
          <w:sz w:val="28"/>
          <w:szCs w:val="28"/>
        </w:rPr>
        <w:t>На рынке первичного размещения корпоративных облигаций можно обобщенно выделить три группы участников: эмитента, андеррайтера и инвестора.</w:t>
      </w:r>
    </w:p>
    <w:p w:rsidR="00F62655" w:rsidRPr="00E070C0" w:rsidRDefault="00F62655" w:rsidP="00E070C0">
      <w:pPr>
        <w:pStyle w:val="a5"/>
        <w:widowControl w:val="0"/>
        <w:spacing w:after="0" w:line="360" w:lineRule="auto"/>
        <w:ind w:left="0" w:firstLine="709"/>
        <w:jc w:val="both"/>
        <w:rPr>
          <w:rFonts w:ascii="Times New Roman" w:hAnsi="Times New Roman"/>
          <w:sz w:val="28"/>
          <w:szCs w:val="28"/>
        </w:rPr>
      </w:pPr>
      <w:r w:rsidRPr="00E070C0">
        <w:rPr>
          <w:rFonts w:ascii="Times New Roman" w:hAnsi="Times New Roman"/>
          <w:sz w:val="28"/>
          <w:szCs w:val="28"/>
        </w:rPr>
        <w:t>Эмитент. Это субъект, эмитирующий облигационный займ. Цель эмиссии - привлечь заемные средства для пополнения оборотных средств (краткосрочные займы) либо профинансировать долгосрочный проект, к примеру, программу модернизации предприятия (долгосрочные займы). Эмитент заинтересован в привлечении средств под наименьший процент на долгий срок.</w:t>
      </w:r>
    </w:p>
    <w:p w:rsidR="00F62655" w:rsidRPr="00E070C0" w:rsidRDefault="00F62655" w:rsidP="00E070C0">
      <w:pPr>
        <w:pStyle w:val="a5"/>
        <w:widowControl w:val="0"/>
        <w:spacing w:after="0" w:line="360" w:lineRule="auto"/>
        <w:ind w:left="0" w:firstLine="709"/>
        <w:jc w:val="both"/>
        <w:rPr>
          <w:rFonts w:ascii="Times New Roman" w:hAnsi="Times New Roman"/>
          <w:sz w:val="28"/>
          <w:szCs w:val="28"/>
        </w:rPr>
      </w:pPr>
      <w:r w:rsidRPr="00E070C0">
        <w:rPr>
          <w:rFonts w:ascii="Times New Roman" w:hAnsi="Times New Roman"/>
          <w:sz w:val="28"/>
          <w:szCs w:val="28"/>
        </w:rPr>
        <w:t>Андеррайтер. Это финансовые структуры, обеспечивающие размещение облигаций эмитента. Функции андеррайтинга выполняют инвестиционные компании и банки. В процессе размещения ценных бумаг могут участвовать несколько андеррайтеров, образующих консорциум. Цель создания консорциума - диверсифицировать риски андеррайтеров по размещению облигационного займа (увеличивается число потенциальных инвесторов за счет вовлечения в процесс размещения нескольких андеррайтеров, имеющих свои клиентские базы). Среди группы андеррайтеров эмитентом выбирается генеральный менеджер, который координирует размещение эмиссии и с которым эмитент устанавливает параметры предстоящей эмиссии (вид облигации, срок обращения, процентная ставка и пр.). Генеральный андеррайтер, как правило, берет на себя функции финансового консультанта эмитента по данному выпуску.</w:t>
      </w:r>
    </w:p>
    <w:p w:rsidR="00F62655" w:rsidRPr="00E070C0" w:rsidRDefault="00F62655" w:rsidP="00E070C0">
      <w:pPr>
        <w:pStyle w:val="a5"/>
        <w:widowControl w:val="0"/>
        <w:spacing w:after="0" w:line="360" w:lineRule="auto"/>
        <w:ind w:left="0" w:firstLine="709"/>
        <w:jc w:val="both"/>
        <w:rPr>
          <w:rFonts w:ascii="Times New Roman" w:hAnsi="Times New Roman"/>
          <w:sz w:val="28"/>
          <w:szCs w:val="28"/>
        </w:rPr>
      </w:pPr>
      <w:r w:rsidRPr="00E070C0">
        <w:rPr>
          <w:rFonts w:ascii="Times New Roman" w:hAnsi="Times New Roman"/>
          <w:sz w:val="28"/>
          <w:szCs w:val="28"/>
        </w:rPr>
        <w:t>Инвесторы. Они в конечном счете покупают облигации. Корпоративные облигации интересны институциональным инвесторам, надолго аккумулирующим денежные средства. Основной объем инвестиций в корпоративные облигации сегодня осуществляется банковскими структурами. Остальная часть приходится на организации коллективного инвестирования и независимых инвесторов. Корпоративные облигации приобретаются организациями для диверсификации инвестиционного портфеля и как инструмент, позволяющий получить доходность выше, чем по государственным ценным бумагам. Для активных игроков фондового рынка, инвестиционных компаний, корпоративные облигации малоинтересны в силу низкой ликвидности вторичного рынка.</w:t>
      </w:r>
    </w:p>
    <w:p w:rsidR="00B05DEF" w:rsidRPr="00E070C0" w:rsidRDefault="00B05DEF" w:rsidP="00E070C0">
      <w:pPr>
        <w:pStyle w:val="a6"/>
        <w:widowControl w:val="0"/>
        <w:ind w:firstLine="709"/>
      </w:pPr>
      <w:r w:rsidRPr="00E070C0">
        <w:t>Существуют различные классификации облигаций. Если рассматривать классификацию по эмитенту, то можно выделить следующие виды облигаций:</w:t>
      </w:r>
    </w:p>
    <w:p w:rsidR="00B05DEF" w:rsidRPr="00E070C0" w:rsidRDefault="00B05DEF" w:rsidP="00E070C0">
      <w:pPr>
        <w:pStyle w:val="a6"/>
        <w:widowControl w:val="0"/>
        <w:ind w:firstLine="709"/>
      </w:pPr>
      <w:r w:rsidRPr="00E070C0">
        <w:rPr>
          <w:bCs/>
        </w:rPr>
        <w:t>- Государственные и муниципальные облигации.</w:t>
      </w:r>
      <w:r w:rsidRPr="00E070C0">
        <w:t xml:space="preserve"> Государственные облигации выпускаются государством в лице общегосударственных органов власти, а муниципальные — местными органами власти. </w:t>
      </w:r>
    </w:p>
    <w:p w:rsidR="00B05DEF" w:rsidRPr="00E070C0" w:rsidRDefault="00B05DEF" w:rsidP="00E070C0">
      <w:pPr>
        <w:pStyle w:val="a6"/>
        <w:widowControl w:val="0"/>
        <w:ind w:firstLine="709"/>
      </w:pPr>
      <w:r w:rsidRPr="00E070C0">
        <w:t xml:space="preserve">Государственные облигации подразделяются на облигации рыночных и нерыночных займов. Бумаги рыночных займов свободно обращаются на вторичном рынке. Облигации нерыночных займов не имеют вторичного рынка. </w:t>
      </w:r>
    </w:p>
    <w:p w:rsidR="00B05DEF" w:rsidRPr="00E070C0" w:rsidRDefault="00B05DEF" w:rsidP="00E070C0">
      <w:pPr>
        <w:pStyle w:val="a6"/>
        <w:widowControl w:val="0"/>
        <w:ind w:firstLine="709"/>
      </w:pPr>
      <w:r w:rsidRPr="00E070C0">
        <w:t xml:space="preserve">Государственные бумаги размещаются отдельными выпусками. Решение об эмиссии может подразумевать деление выпуска на транши. Транш — это часть ценных бумаг данного выпуска, которые размещаются в любой момент времени в течение периода его обращения после даты первого размещения в рамках заявленного объема эмиссии этого выпуска. </w:t>
      </w:r>
    </w:p>
    <w:p w:rsidR="00B05DEF" w:rsidRPr="00E070C0" w:rsidRDefault="00B05DEF" w:rsidP="00E070C0">
      <w:pPr>
        <w:pStyle w:val="a6"/>
        <w:widowControl w:val="0"/>
        <w:ind w:firstLine="709"/>
      </w:pPr>
      <w:r w:rsidRPr="00E070C0">
        <w:t xml:space="preserve">Обычно считается, что самыми безопасными инвестициями (с точки зрения невозврата средств эмитентом) являются вложения в государственные облигации. Таким образом, эти инструменты являются особенно привлекательными для инвесторов, которые стремятся получать регулярный надежный доход и относительно небольшой прирост капитала в течение достаточно длительных периодов времени. </w:t>
      </w:r>
    </w:p>
    <w:p w:rsidR="00B05DEF" w:rsidRPr="00E070C0" w:rsidRDefault="00B05DEF" w:rsidP="00E070C0">
      <w:pPr>
        <w:pStyle w:val="a6"/>
        <w:widowControl w:val="0"/>
        <w:ind w:firstLine="709"/>
      </w:pPr>
      <w:r w:rsidRPr="00E070C0">
        <w:rPr>
          <w:bCs/>
        </w:rPr>
        <w:t>Корпоративные облигации.</w:t>
      </w:r>
      <w:r w:rsidRPr="00E070C0">
        <w:rPr>
          <w:b/>
          <w:bCs/>
        </w:rPr>
        <w:t xml:space="preserve"> </w:t>
      </w:r>
      <w:r w:rsidRPr="00E070C0">
        <w:t xml:space="preserve">Корпоративные облигации выпускаются акционерными обществами с целью привлечения дополнительного капитала. </w:t>
      </w:r>
    </w:p>
    <w:p w:rsidR="00B05DEF" w:rsidRPr="00E070C0" w:rsidRDefault="00B05DEF" w:rsidP="00E070C0">
      <w:pPr>
        <w:pStyle w:val="a6"/>
        <w:widowControl w:val="0"/>
        <w:ind w:firstLine="709"/>
      </w:pPr>
      <w:r w:rsidRPr="00E070C0">
        <w:t xml:space="preserve">Эмиссия облигаций допускается только после полной оплаты компанией уставного капитала. Номинальная стоимость всех выпущенных облигаций не должна превышать размера уставного капитала компании либо величину обеспечения, представленного обществу для этих целей третьими лицами. </w:t>
      </w:r>
    </w:p>
    <w:p w:rsidR="00B05DEF" w:rsidRPr="00E070C0" w:rsidRDefault="00B05DEF" w:rsidP="00E070C0">
      <w:pPr>
        <w:pStyle w:val="a6"/>
        <w:widowControl w:val="0"/>
        <w:ind w:firstLine="709"/>
      </w:pPr>
      <w:r w:rsidRPr="00E070C0">
        <w:t>В зависимости от срока обращения облигации подразделяются на следующие виды: краткосрочные (до 1 года); среднесрочные (от 1 года до 5 лет); долгосрочные (от 5 до 30 лет).</w:t>
      </w:r>
    </w:p>
    <w:p w:rsidR="0041714B" w:rsidRPr="00E070C0" w:rsidRDefault="0041714B" w:rsidP="00E070C0">
      <w:pPr>
        <w:pStyle w:val="a5"/>
        <w:widowControl w:val="0"/>
        <w:spacing w:after="0" w:line="360" w:lineRule="auto"/>
        <w:ind w:left="0" w:firstLine="709"/>
        <w:jc w:val="both"/>
        <w:rPr>
          <w:rFonts w:ascii="Times New Roman" w:hAnsi="Times New Roman"/>
          <w:sz w:val="28"/>
          <w:szCs w:val="28"/>
        </w:rPr>
      </w:pPr>
      <w:r w:rsidRPr="00E070C0">
        <w:rPr>
          <w:rFonts w:ascii="Times New Roman" w:hAnsi="Times New Roman"/>
          <w:sz w:val="28"/>
          <w:szCs w:val="28"/>
        </w:rPr>
        <w:t>По виду обеспечения. Облигации могут быть обеспечены определенным имуществом общества, могут быть выпущены под обеспечение, предоставленное обществу для целей выпуска облигаций третьими лицами или вообще быть без обеспечения.</w:t>
      </w:r>
    </w:p>
    <w:p w:rsidR="00B05DEF" w:rsidRPr="00E070C0" w:rsidRDefault="0041714B" w:rsidP="00E070C0">
      <w:pPr>
        <w:pStyle w:val="a5"/>
        <w:widowControl w:val="0"/>
        <w:spacing w:after="0" w:line="360" w:lineRule="auto"/>
        <w:ind w:left="0" w:firstLine="709"/>
        <w:jc w:val="both"/>
        <w:rPr>
          <w:rFonts w:ascii="Times New Roman" w:hAnsi="Times New Roman"/>
          <w:sz w:val="28"/>
          <w:szCs w:val="28"/>
        </w:rPr>
      </w:pPr>
      <w:r w:rsidRPr="00E070C0">
        <w:rPr>
          <w:rFonts w:ascii="Times New Roman" w:hAnsi="Times New Roman"/>
          <w:sz w:val="28"/>
          <w:szCs w:val="28"/>
        </w:rPr>
        <w:t>По фиксации ставки. Облигации бывают с фиксированной ставкой процента и с плавающей ставкой процента. В облигациях последнего типа процентная ставка изменяется в зависимости от индексов, которые выбираются индивидуально для конкретных выпусков. В качестве индексов могут быть использованы валютный курс (доллар/рубль), индекс доходности ОФЗ и др. Основным достоинством облигации с плавающей ставкой является потенциальное удешевление стоимости заимствования. Главным фактором в выборе облигаций с фиксированной или плавающей ставкой являются ожидания эмитента: если он ожидает снижения доходности, то выгодно прибегать к облигациям с плавающей ставкой, если он ожидает рост доходности, то рекомендуется размещать облигации с фиксированной ставкой. С точки зрения инвесторов, использование бумаг с плавающей процентной ставкой затрудняет расчет доходности бумаги.</w:t>
      </w:r>
    </w:p>
    <w:p w:rsidR="0041714B" w:rsidRPr="00E070C0" w:rsidRDefault="0041714B" w:rsidP="00E070C0">
      <w:pPr>
        <w:widowControl w:val="0"/>
        <w:spacing w:after="0" w:line="360" w:lineRule="auto"/>
        <w:ind w:firstLine="709"/>
        <w:jc w:val="both"/>
        <w:rPr>
          <w:rFonts w:ascii="Times New Roman" w:hAnsi="Times New Roman"/>
          <w:sz w:val="28"/>
          <w:szCs w:val="28"/>
        </w:rPr>
      </w:pPr>
    </w:p>
    <w:p w:rsidR="0041714B" w:rsidRPr="00E070C0" w:rsidRDefault="0041714B" w:rsidP="00E070C0">
      <w:pPr>
        <w:pStyle w:val="1"/>
        <w:keepNext w:val="0"/>
        <w:widowControl w:val="0"/>
        <w:ind w:firstLine="709"/>
        <w:jc w:val="both"/>
        <w:rPr>
          <w:lang w:val="ru-RU"/>
        </w:rPr>
      </w:pPr>
      <w:r w:rsidRPr="00E070C0">
        <w:rPr>
          <w:bCs w:val="0"/>
          <w:lang w:val="ru-RU"/>
        </w:rPr>
        <w:t>3.</w:t>
      </w:r>
      <w:r w:rsidRPr="00E070C0">
        <w:rPr>
          <w:lang w:val="ru-RU"/>
        </w:rPr>
        <w:t xml:space="preserve"> Современные российские государственные облигации</w:t>
      </w:r>
    </w:p>
    <w:p w:rsidR="00E070C0" w:rsidRDefault="00E070C0" w:rsidP="00E070C0">
      <w:pPr>
        <w:widowControl w:val="0"/>
        <w:spacing w:after="0" w:line="360" w:lineRule="auto"/>
        <w:ind w:firstLine="709"/>
        <w:jc w:val="both"/>
        <w:rPr>
          <w:rFonts w:ascii="Times New Roman" w:hAnsi="Times New Roman"/>
          <w:kern w:val="28"/>
          <w:sz w:val="28"/>
          <w:szCs w:val="28"/>
        </w:rPr>
      </w:pPr>
    </w:p>
    <w:p w:rsidR="005B2E3A" w:rsidRPr="00E070C0" w:rsidRDefault="005B2E3A" w:rsidP="00E070C0">
      <w:pPr>
        <w:widowControl w:val="0"/>
        <w:spacing w:after="0" w:line="360" w:lineRule="auto"/>
        <w:ind w:firstLine="709"/>
        <w:jc w:val="both"/>
        <w:rPr>
          <w:rFonts w:ascii="Times New Roman" w:hAnsi="Times New Roman"/>
          <w:kern w:val="28"/>
          <w:sz w:val="28"/>
          <w:szCs w:val="28"/>
        </w:rPr>
      </w:pPr>
      <w:r w:rsidRPr="00E070C0">
        <w:rPr>
          <w:rFonts w:ascii="Times New Roman" w:hAnsi="Times New Roman"/>
          <w:kern w:val="28"/>
          <w:sz w:val="28"/>
          <w:szCs w:val="28"/>
        </w:rPr>
        <w:t>Рынок государственных облигаций является достойной альтернативой рынку банковских депозитов для юридических лиц и сберегательных вкладов для физических лиц, во многом превосходя последние как по параметрам доходности, так и по показателям надежности и ликвидности вложений.</w:t>
      </w:r>
    </w:p>
    <w:p w:rsidR="005B2E3A" w:rsidRPr="00E070C0" w:rsidRDefault="005B2E3A" w:rsidP="00E070C0">
      <w:pPr>
        <w:widowControl w:val="0"/>
        <w:spacing w:after="0" w:line="360" w:lineRule="auto"/>
        <w:ind w:firstLine="709"/>
        <w:jc w:val="both"/>
        <w:rPr>
          <w:rFonts w:ascii="Times New Roman" w:hAnsi="Times New Roman"/>
          <w:kern w:val="28"/>
          <w:sz w:val="28"/>
          <w:szCs w:val="28"/>
        </w:rPr>
      </w:pPr>
      <w:r w:rsidRPr="00E070C0">
        <w:rPr>
          <w:rFonts w:ascii="Times New Roman" w:hAnsi="Times New Roman"/>
          <w:kern w:val="28"/>
          <w:sz w:val="28"/>
          <w:szCs w:val="28"/>
        </w:rPr>
        <w:t>Среди современных российских облигаций наибольшее распространение получили такие государственные облигации:</w:t>
      </w:r>
    </w:p>
    <w:p w:rsidR="005B2E3A" w:rsidRPr="00E070C0" w:rsidRDefault="005B2E3A" w:rsidP="00E070C0">
      <w:pPr>
        <w:widowControl w:val="0"/>
        <w:spacing w:after="0" w:line="360" w:lineRule="auto"/>
        <w:ind w:firstLine="709"/>
        <w:jc w:val="both"/>
        <w:rPr>
          <w:rFonts w:ascii="Times New Roman" w:hAnsi="Times New Roman"/>
          <w:kern w:val="28"/>
          <w:sz w:val="28"/>
          <w:szCs w:val="28"/>
        </w:rPr>
      </w:pPr>
      <w:r w:rsidRPr="00E070C0">
        <w:rPr>
          <w:rFonts w:ascii="Times New Roman" w:hAnsi="Times New Roman"/>
          <w:kern w:val="28"/>
          <w:sz w:val="28"/>
          <w:szCs w:val="28"/>
        </w:rPr>
        <w:t xml:space="preserve">1. </w:t>
      </w:r>
      <w:r w:rsidRPr="00E070C0">
        <w:rPr>
          <w:rFonts w:ascii="Times New Roman" w:hAnsi="Times New Roman"/>
          <w:bCs/>
          <w:kern w:val="28"/>
          <w:sz w:val="28"/>
          <w:szCs w:val="28"/>
        </w:rPr>
        <w:t>Государственная краткосрочная облигация (ГКО)</w:t>
      </w:r>
      <w:r w:rsidRPr="00E070C0">
        <w:rPr>
          <w:rFonts w:ascii="Times New Roman" w:hAnsi="Times New Roman"/>
          <w:kern w:val="28"/>
          <w:sz w:val="28"/>
          <w:szCs w:val="28"/>
        </w:rPr>
        <w:t xml:space="preserve">, эмитентом которой является Министерство финансов РФ. Это бескупонная именная облигация, выпускаемая в бездокументарной форме. Эти облигации выпускаются сроком на 3 месяца, 6 месяцев и год. </w:t>
      </w:r>
    </w:p>
    <w:p w:rsidR="005B2E3A" w:rsidRPr="00E070C0" w:rsidRDefault="005B2E3A" w:rsidP="00E070C0">
      <w:pPr>
        <w:widowControl w:val="0"/>
        <w:spacing w:after="0" w:line="360" w:lineRule="auto"/>
        <w:ind w:firstLine="709"/>
        <w:jc w:val="both"/>
        <w:rPr>
          <w:rFonts w:ascii="Times New Roman" w:hAnsi="Times New Roman"/>
          <w:kern w:val="28"/>
          <w:sz w:val="28"/>
          <w:szCs w:val="28"/>
        </w:rPr>
      </w:pPr>
      <w:r w:rsidRPr="00E070C0">
        <w:rPr>
          <w:rFonts w:ascii="Times New Roman" w:hAnsi="Times New Roman"/>
          <w:kern w:val="28"/>
          <w:sz w:val="28"/>
          <w:szCs w:val="28"/>
        </w:rPr>
        <w:t>С первых дней своей жизни ГКО рассматривались инвесторами как наиболее консервативные и надежные из всех альтернативных инструментов российского фондового рынка. Но после того, как в августе 1998 г. были проведены последние «докризисные» торги, за которыми последовало объявление правительства о решении провести реструктуризацию внутреннего долга путем переноса исполнения своих обязательств по ГКО на более поздний срок, отношение инвесторов к этому сектору бумаг резко изменилось.</w:t>
      </w:r>
    </w:p>
    <w:p w:rsidR="005B2E3A" w:rsidRPr="00E070C0" w:rsidRDefault="005B2E3A" w:rsidP="00E070C0">
      <w:pPr>
        <w:widowControl w:val="0"/>
        <w:spacing w:after="0" w:line="360" w:lineRule="auto"/>
        <w:ind w:firstLine="709"/>
        <w:jc w:val="both"/>
        <w:rPr>
          <w:rFonts w:ascii="Times New Roman" w:hAnsi="Times New Roman"/>
          <w:kern w:val="28"/>
          <w:sz w:val="28"/>
          <w:szCs w:val="28"/>
        </w:rPr>
      </w:pPr>
      <w:r w:rsidRPr="00E070C0">
        <w:rPr>
          <w:rFonts w:ascii="Times New Roman" w:hAnsi="Times New Roman"/>
          <w:kern w:val="28"/>
          <w:sz w:val="28"/>
          <w:szCs w:val="28"/>
        </w:rPr>
        <w:t xml:space="preserve">Доходность ГКО определяется по формуле: </w:t>
      </w:r>
    </w:p>
    <w:p w:rsidR="00E070C0" w:rsidRDefault="00E070C0" w:rsidP="00E070C0">
      <w:pPr>
        <w:widowControl w:val="0"/>
        <w:tabs>
          <w:tab w:val="left" w:pos="851"/>
        </w:tabs>
        <w:overflowPunct w:val="0"/>
        <w:autoSpaceDE w:val="0"/>
        <w:autoSpaceDN w:val="0"/>
        <w:adjustRightInd w:val="0"/>
        <w:spacing w:after="0" w:line="360" w:lineRule="auto"/>
        <w:jc w:val="both"/>
        <w:rPr>
          <w:rFonts w:ascii="Times New Roman" w:hAnsi="Times New Roman"/>
          <w:sz w:val="28"/>
          <w:szCs w:val="28"/>
        </w:rPr>
      </w:pPr>
    </w:p>
    <w:p w:rsidR="005B2E3A" w:rsidRPr="00E070C0" w:rsidRDefault="005B2E3A" w:rsidP="00E070C0">
      <w:pPr>
        <w:widowControl w:val="0"/>
        <w:tabs>
          <w:tab w:val="left" w:pos="851"/>
        </w:tabs>
        <w:overflowPunct w:val="0"/>
        <w:autoSpaceDE w:val="0"/>
        <w:autoSpaceDN w:val="0"/>
        <w:adjustRightInd w:val="0"/>
        <w:spacing w:after="0" w:line="360" w:lineRule="auto"/>
        <w:jc w:val="both"/>
        <w:rPr>
          <w:rFonts w:ascii="Times New Roman" w:hAnsi="Times New Roman"/>
          <w:sz w:val="28"/>
          <w:szCs w:val="28"/>
        </w:rPr>
      </w:pPr>
      <w:r w:rsidRPr="00E070C0">
        <w:rPr>
          <w:rFonts w:ascii="Times New Roman" w:hAnsi="Times New Roman"/>
          <w:sz w:val="28"/>
          <w:szCs w:val="28"/>
        </w:rPr>
        <w:t>Д = [(Ц</w:t>
      </w:r>
      <w:r w:rsidRPr="00E070C0">
        <w:rPr>
          <w:rFonts w:ascii="Times New Roman" w:hAnsi="Times New Roman"/>
          <w:sz w:val="28"/>
          <w:szCs w:val="28"/>
          <w:vertAlign w:val="subscript"/>
        </w:rPr>
        <w:t>погашения</w:t>
      </w:r>
      <w:r w:rsidR="00E070C0">
        <w:rPr>
          <w:rFonts w:ascii="Times New Roman" w:hAnsi="Times New Roman"/>
          <w:sz w:val="28"/>
          <w:szCs w:val="28"/>
        </w:rPr>
        <w:t xml:space="preserve"> -</w:t>
      </w:r>
      <w:r w:rsidRPr="00E070C0">
        <w:rPr>
          <w:rFonts w:ascii="Times New Roman" w:hAnsi="Times New Roman"/>
          <w:sz w:val="28"/>
          <w:szCs w:val="28"/>
        </w:rPr>
        <w:t xml:space="preserve"> Ц</w:t>
      </w:r>
      <w:r w:rsidRPr="00E070C0">
        <w:rPr>
          <w:rFonts w:ascii="Times New Roman" w:hAnsi="Times New Roman"/>
          <w:sz w:val="28"/>
          <w:szCs w:val="28"/>
          <w:vertAlign w:val="subscript"/>
        </w:rPr>
        <w:t>покупки</w:t>
      </w:r>
      <w:r w:rsidR="00E070C0">
        <w:rPr>
          <w:rFonts w:ascii="Times New Roman" w:hAnsi="Times New Roman"/>
          <w:sz w:val="28"/>
          <w:szCs w:val="28"/>
        </w:rPr>
        <w:t>)/(N-</w:t>
      </w:r>
      <w:r w:rsidRPr="00E070C0">
        <w:rPr>
          <w:rFonts w:ascii="Times New Roman" w:hAnsi="Times New Roman"/>
          <w:sz w:val="28"/>
          <w:szCs w:val="28"/>
        </w:rPr>
        <w:t>D)] * (365/Т</w:t>
      </w:r>
      <w:r w:rsidRPr="00E070C0">
        <w:rPr>
          <w:rFonts w:ascii="Times New Roman" w:hAnsi="Times New Roman"/>
          <w:sz w:val="28"/>
          <w:szCs w:val="28"/>
          <w:vertAlign w:val="subscript"/>
        </w:rPr>
        <w:t>погашения</w:t>
      </w:r>
      <w:r w:rsidRPr="00E070C0">
        <w:rPr>
          <w:rFonts w:ascii="Times New Roman" w:hAnsi="Times New Roman"/>
          <w:sz w:val="28"/>
          <w:szCs w:val="28"/>
        </w:rPr>
        <w:t>) *</w:t>
      </w:r>
      <w:r w:rsidR="00E070C0">
        <w:rPr>
          <w:rFonts w:ascii="Times New Roman" w:hAnsi="Times New Roman"/>
          <w:sz w:val="28"/>
          <w:szCs w:val="28"/>
        </w:rPr>
        <w:t xml:space="preserve"> [100/(100-</w:t>
      </w:r>
      <w:r w:rsidRPr="00E070C0">
        <w:rPr>
          <w:rFonts w:ascii="Times New Roman" w:hAnsi="Times New Roman"/>
          <w:sz w:val="28"/>
          <w:szCs w:val="28"/>
        </w:rPr>
        <w:t>С</w:t>
      </w:r>
      <w:r w:rsidRPr="00E070C0">
        <w:rPr>
          <w:rFonts w:ascii="Times New Roman" w:hAnsi="Times New Roman"/>
          <w:sz w:val="28"/>
          <w:szCs w:val="28"/>
          <w:vertAlign w:val="subscript"/>
        </w:rPr>
        <w:t>налога</w:t>
      </w:r>
      <w:r w:rsidRPr="00E070C0">
        <w:rPr>
          <w:rFonts w:ascii="Times New Roman" w:hAnsi="Times New Roman"/>
          <w:sz w:val="28"/>
          <w:szCs w:val="28"/>
        </w:rPr>
        <w:t>)] * 100,</w:t>
      </w:r>
    </w:p>
    <w:p w:rsidR="00E070C0" w:rsidRDefault="00E070C0" w:rsidP="00E070C0">
      <w:pPr>
        <w:widowControl w:val="0"/>
        <w:tabs>
          <w:tab w:val="left" w:pos="851"/>
        </w:tabs>
        <w:overflowPunct w:val="0"/>
        <w:autoSpaceDE w:val="0"/>
        <w:autoSpaceDN w:val="0"/>
        <w:adjustRightInd w:val="0"/>
        <w:spacing w:after="0" w:line="360" w:lineRule="auto"/>
        <w:ind w:firstLine="709"/>
        <w:jc w:val="both"/>
        <w:rPr>
          <w:rFonts w:ascii="Times New Roman" w:hAnsi="Times New Roman"/>
          <w:sz w:val="28"/>
          <w:szCs w:val="28"/>
        </w:rPr>
      </w:pPr>
    </w:p>
    <w:p w:rsidR="005B2E3A" w:rsidRPr="00E070C0" w:rsidRDefault="005B2E3A" w:rsidP="00E070C0">
      <w:pPr>
        <w:widowControl w:val="0"/>
        <w:tabs>
          <w:tab w:val="left" w:pos="851"/>
        </w:tabs>
        <w:overflowPunct w:val="0"/>
        <w:autoSpaceDE w:val="0"/>
        <w:autoSpaceDN w:val="0"/>
        <w:adjustRightInd w:val="0"/>
        <w:spacing w:after="0" w:line="360" w:lineRule="auto"/>
        <w:ind w:firstLine="709"/>
        <w:jc w:val="both"/>
        <w:rPr>
          <w:rFonts w:ascii="Times New Roman" w:hAnsi="Times New Roman"/>
          <w:sz w:val="28"/>
          <w:szCs w:val="28"/>
        </w:rPr>
      </w:pPr>
      <w:r w:rsidRPr="00E070C0">
        <w:rPr>
          <w:rFonts w:ascii="Times New Roman" w:hAnsi="Times New Roman"/>
          <w:sz w:val="28"/>
          <w:szCs w:val="28"/>
        </w:rPr>
        <w:t>где Ц</w:t>
      </w:r>
      <w:r w:rsidRPr="00E070C0">
        <w:rPr>
          <w:rFonts w:ascii="Times New Roman" w:hAnsi="Times New Roman"/>
          <w:sz w:val="28"/>
          <w:szCs w:val="28"/>
          <w:vertAlign w:val="subscript"/>
        </w:rPr>
        <w:t>погашения</w:t>
      </w:r>
      <w:r w:rsidRPr="00E070C0">
        <w:rPr>
          <w:rFonts w:ascii="Times New Roman" w:hAnsi="Times New Roman"/>
          <w:sz w:val="28"/>
          <w:szCs w:val="28"/>
        </w:rPr>
        <w:t xml:space="preserve"> — цена погашения облигации; Ц</w:t>
      </w:r>
      <w:r w:rsidRPr="00E070C0">
        <w:rPr>
          <w:rFonts w:ascii="Times New Roman" w:hAnsi="Times New Roman"/>
          <w:sz w:val="28"/>
          <w:szCs w:val="28"/>
          <w:vertAlign w:val="subscript"/>
        </w:rPr>
        <w:t xml:space="preserve">покупки </w:t>
      </w:r>
      <w:r w:rsidRPr="00E070C0">
        <w:rPr>
          <w:rFonts w:ascii="Times New Roman" w:hAnsi="Times New Roman"/>
          <w:sz w:val="28"/>
          <w:szCs w:val="28"/>
        </w:rPr>
        <w:t>— цена покупки облигации; N — номинал ГКО, руб; D — дисконт, руб; Т</w:t>
      </w:r>
      <w:r w:rsidRPr="00E070C0">
        <w:rPr>
          <w:rFonts w:ascii="Times New Roman" w:hAnsi="Times New Roman"/>
          <w:sz w:val="28"/>
          <w:szCs w:val="28"/>
          <w:vertAlign w:val="subscript"/>
        </w:rPr>
        <w:t>погашения</w:t>
      </w:r>
      <w:r w:rsidRPr="00E070C0">
        <w:rPr>
          <w:rFonts w:ascii="Times New Roman" w:hAnsi="Times New Roman"/>
          <w:sz w:val="28"/>
          <w:szCs w:val="28"/>
        </w:rPr>
        <w:t xml:space="preserve"> — количеств дней до даты погашения ГКО; С</w:t>
      </w:r>
      <w:r w:rsidRPr="00E070C0">
        <w:rPr>
          <w:rFonts w:ascii="Times New Roman" w:hAnsi="Times New Roman"/>
          <w:sz w:val="28"/>
          <w:szCs w:val="28"/>
          <w:vertAlign w:val="subscript"/>
        </w:rPr>
        <w:t>налога</w:t>
      </w:r>
      <w:r w:rsidRPr="00E070C0">
        <w:rPr>
          <w:rFonts w:ascii="Times New Roman" w:hAnsi="Times New Roman"/>
          <w:sz w:val="28"/>
          <w:szCs w:val="28"/>
        </w:rPr>
        <w:t xml:space="preserve"> — ставка налога на прибыль для владельца ГКО, %.</w:t>
      </w:r>
    </w:p>
    <w:p w:rsidR="005B2E3A" w:rsidRPr="00E070C0" w:rsidRDefault="005B2E3A" w:rsidP="00E070C0">
      <w:pPr>
        <w:widowControl w:val="0"/>
        <w:tabs>
          <w:tab w:val="left" w:pos="851"/>
        </w:tabs>
        <w:overflowPunct w:val="0"/>
        <w:autoSpaceDE w:val="0"/>
        <w:autoSpaceDN w:val="0"/>
        <w:adjustRightInd w:val="0"/>
        <w:spacing w:after="0" w:line="360" w:lineRule="auto"/>
        <w:ind w:firstLine="709"/>
        <w:jc w:val="both"/>
        <w:rPr>
          <w:rFonts w:ascii="Times New Roman" w:hAnsi="Times New Roman"/>
          <w:sz w:val="28"/>
          <w:szCs w:val="28"/>
        </w:rPr>
      </w:pPr>
      <w:r w:rsidRPr="00E070C0">
        <w:rPr>
          <w:rFonts w:ascii="Times New Roman" w:hAnsi="Times New Roman"/>
          <w:sz w:val="28"/>
          <w:szCs w:val="28"/>
        </w:rPr>
        <w:t>Государственные краткосрочные облигации являются бескупонными (дисконтными) облигациями, по своей природе аналогичными облигациям федерального займа, также эмитируемыми Министерством Финансов РФ.</w:t>
      </w:r>
    </w:p>
    <w:p w:rsidR="005B2E3A" w:rsidRPr="00E070C0" w:rsidRDefault="005B2E3A" w:rsidP="00E070C0">
      <w:pPr>
        <w:widowControl w:val="0"/>
        <w:spacing w:after="0" w:line="360" w:lineRule="auto"/>
        <w:ind w:firstLine="709"/>
        <w:jc w:val="both"/>
        <w:rPr>
          <w:rFonts w:ascii="Times New Roman" w:hAnsi="Times New Roman"/>
          <w:kern w:val="28"/>
          <w:sz w:val="28"/>
          <w:szCs w:val="28"/>
        </w:rPr>
      </w:pPr>
      <w:r w:rsidRPr="00E070C0">
        <w:rPr>
          <w:rFonts w:ascii="Times New Roman" w:hAnsi="Times New Roman"/>
          <w:kern w:val="28"/>
          <w:sz w:val="28"/>
          <w:szCs w:val="28"/>
        </w:rPr>
        <w:t>2</w:t>
      </w:r>
      <w:r w:rsidRPr="00E070C0">
        <w:rPr>
          <w:rFonts w:ascii="Times New Roman" w:hAnsi="Times New Roman"/>
          <w:b/>
          <w:bCs/>
          <w:kern w:val="28"/>
          <w:sz w:val="28"/>
          <w:szCs w:val="28"/>
        </w:rPr>
        <w:t xml:space="preserve">. </w:t>
      </w:r>
      <w:r w:rsidRPr="00E070C0">
        <w:rPr>
          <w:rFonts w:ascii="Times New Roman" w:hAnsi="Times New Roman"/>
          <w:bCs/>
          <w:kern w:val="28"/>
          <w:sz w:val="28"/>
          <w:szCs w:val="28"/>
        </w:rPr>
        <w:t>Облигации федерального займа</w:t>
      </w:r>
      <w:r w:rsidRPr="00E070C0">
        <w:rPr>
          <w:rFonts w:ascii="Times New Roman" w:hAnsi="Times New Roman"/>
          <w:kern w:val="28"/>
          <w:sz w:val="28"/>
          <w:szCs w:val="28"/>
        </w:rPr>
        <w:t xml:space="preserve"> </w:t>
      </w:r>
      <w:r w:rsidRPr="00E070C0">
        <w:rPr>
          <w:rFonts w:ascii="Times New Roman" w:hAnsi="Times New Roman"/>
          <w:bCs/>
          <w:kern w:val="28"/>
          <w:sz w:val="28"/>
          <w:szCs w:val="28"/>
        </w:rPr>
        <w:t>(ОФЗ)</w:t>
      </w:r>
      <w:r w:rsidRPr="00E070C0">
        <w:rPr>
          <w:rFonts w:ascii="Times New Roman" w:hAnsi="Times New Roman"/>
          <w:kern w:val="28"/>
          <w:sz w:val="28"/>
          <w:szCs w:val="28"/>
        </w:rPr>
        <w:t xml:space="preserve">. Они представляют собой семейство облигаций с фиксированным доходом (ранее на рынке присутствовали ОФЗ с переменным доходом, эмитированные в настоящий момент ОФЗ с переменным доходом на рынке фактически не обращаются), эмитированных Министерством Финансов РФ. Данная бумага погашается в полном объёме в дату погашения, а в течение срока обращения с годовым или полугодовым интервалом выплачивается определённый при эмиссии купонный доход. </w:t>
      </w:r>
    </w:p>
    <w:p w:rsidR="005B2E3A" w:rsidRPr="00E070C0" w:rsidRDefault="005B2E3A" w:rsidP="00E070C0">
      <w:pPr>
        <w:widowControl w:val="0"/>
        <w:spacing w:after="0" w:line="360" w:lineRule="auto"/>
        <w:ind w:firstLine="709"/>
        <w:jc w:val="both"/>
        <w:rPr>
          <w:rFonts w:ascii="Times New Roman" w:hAnsi="Times New Roman"/>
          <w:kern w:val="28"/>
          <w:sz w:val="28"/>
          <w:szCs w:val="28"/>
        </w:rPr>
      </w:pPr>
      <w:r w:rsidRPr="00E070C0">
        <w:rPr>
          <w:rFonts w:ascii="Times New Roman" w:hAnsi="Times New Roman"/>
          <w:kern w:val="28"/>
          <w:sz w:val="28"/>
          <w:szCs w:val="28"/>
        </w:rPr>
        <w:t xml:space="preserve">При заключении сделки купли/продажи осуществляется оплата покупателем купонного дохода накопленного с начала текущего купонного периода до даты заключения сделки (НКД). Котировки ОФЗ указываются без учета НКД. </w:t>
      </w:r>
    </w:p>
    <w:p w:rsidR="005B2E3A" w:rsidRPr="00E070C0" w:rsidRDefault="005B2E3A" w:rsidP="00E070C0">
      <w:pPr>
        <w:widowControl w:val="0"/>
        <w:spacing w:after="0" w:line="360" w:lineRule="auto"/>
        <w:ind w:firstLine="709"/>
        <w:jc w:val="both"/>
        <w:rPr>
          <w:rFonts w:ascii="Times New Roman" w:hAnsi="Times New Roman"/>
          <w:kern w:val="28"/>
          <w:sz w:val="28"/>
          <w:szCs w:val="28"/>
        </w:rPr>
      </w:pPr>
      <w:r w:rsidRPr="00E070C0">
        <w:rPr>
          <w:rFonts w:ascii="Times New Roman" w:hAnsi="Times New Roman"/>
          <w:kern w:val="28"/>
          <w:sz w:val="28"/>
          <w:szCs w:val="28"/>
        </w:rPr>
        <w:t xml:space="preserve">Выпускались такие виды ОФЗ: </w:t>
      </w:r>
    </w:p>
    <w:p w:rsidR="005B2E3A" w:rsidRPr="00E070C0" w:rsidRDefault="005B2E3A" w:rsidP="00E070C0">
      <w:pPr>
        <w:widowControl w:val="0"/>
        <w:numPr>
          <w:ilvl w:val="0"/>
          <w:numId w:val="4"/>
        </w:numPr>
        <w:tabs>
          <w:tab w:val="clear" w:pos="1571"/>
          <w:tab w:val="num" w:pos="1276"/>
        </w:tabs>
        <w:spacing w:after="0" w:line="360" w:lineRule="auto"/>
        <w:ind w:left="0" w:firstLine="709"/>
        <w:jc w:val="both"/>
        <w:rPr>
          <w:rFonts w:ascii="Times New Roman" w:hAnsi="Times New Roman"/>
          <w:kern w:val="28"/>
          <w:sz w:val="28"/>
          <w:szCs w:val="28"/>
        </w:rPr>
      </w:pPr>
      <w:r w:rsidRPr="00E070C0">
        <w:rPr>
          <w:rFonts w:ascii="Times New Roman" w:hAnsi="Times New Roman"/>
          <w:kern w:val="28"/>
          <w:sz w:val="28"/>
          <w:szCs w:val="28"/>
        </w:rPr>
        <w:t>облигация федерального займа (ОФЗ) с постоянным или переменным купоном. Эмитентом выступает Министерство финансов РФ. Облигация является именной среднесрочной или долгосрочной бумагой;</w:t>
      </w:r>
    </w:p>
    <w:p w:rsidR="005B2E3A" w:rsidRPr="00E070C0" w:rsidRDefault="005B2E3A" w:rsidP="00E070C0">
      <w:pPr>
        <w:widowControl w:val="0"/>
        <w:numPr>
          <w:ilvl w:val="0"/>
          <w:numId w:val="4"/>
        </w:numPr>
        <w:tabs>
          <w:tab w:val="clear" w:pos="1571"/>
          <w:tab w:val="num" w:pos="1276"/>
        </w:tabs>
        <w:spacing w:after="0" w:line="360" w:lineRule="auto"/>
        <w:ind w:left="0" w:firstLine="709"/>
        <w:jc w:val="both"/>
        <w:rPr>
          <w:rFonts w:ascii="Times New Roman" w:hAnsi="Times New Roman"/>
          <w:kern w:val="28"/>
          <w:sz w:val="28"/>
          <w:szCs w:val="28"/>
        </w:rPr>
      </w:pPr>
      <w:r w:rsidRPr="00E070C0">
        <w:rPr>
          <w:rFonts w:ascii="Times New Roman" w:hAnsi="Times New Roman"/>
          <w:kern w:val="28"/>
          <w:sz w:val="28"/>
          <w:szCs w:val="28"/>
        </w:rPr>
        <w:t>облигация государственного сберегательного займа (ОГСЗ), эмитируемая Министерством финансов РФ. Облигация является среднесрочной бумагой с плавающим купоном, величина которого определяется на основе доходности по ГКО и ОФЗ или официальных показателей, характеризующих инфляцию;</w:t>
      </w:r>
    </w:p>
    <w:p w:rsidR="005B2E3A" w:rsidRPr="00E070C0" w:rsidRDefault="005B2E3A" w:rsidP="00E070C0">
      <w:pPr>
        <w:widowControl w:val="0"/>
        <w:numPr>
          <w:ilvl w:val="0"/>
          <w:numId w:val="4"/>
        </w:numPr>
        <w:tabs>
          <w:tab w:val="clear" w:pos="1571"/>
          <w:tab w:val="num" w:pos="1276"/>
        </w:tabs>
        <w:spacing w:after="0" w:line="360" w:lineRule="auto"/>
        <w:ind w:left="0" w:firstLine="709"/>
        <w:jc w:val="both"/>
        <w:rPr>
          <w:rFonts w:ascii="Times New Roman" w:hAnsi="Times New Roman"/>
          <w:kern w:val="28"/>
          <w:sz w:val="28"/>
          <w:szCs w:val="28"/>
        </w:rPr>
      </w:pPr>
      <w:r w:rsidRPr="00E070C0">
        <w:rPr>
          <w:rFonts w:ascii="Times New Roman" w:hAnsi="Times New Roman"/>
          <w:kern w:val="28"/>
          <w:sz w:val="28"/>
          <w:szCs w:val="28"/>
        </w:rPr>
        <w:t>облигации федерального займа с амортизацией долга (ОФЗ-АД);</w:t>
      </w:r>
    </w:p>
    <w:p w:rsidR="005B2E3A" w:rsidRPr="00E070C0" w:rsidRDefault="005B2E3A" w:rsidP="00E070C0">
      <w:pPr>
        <w:widowControl w:val="0"/>
        <w:numPr>
          <w:ilvl w:val="0"/>
          <w:numId w:val="4"/>
        </w:numPr>
        <w:tabs>
          <w:tab w:val="clear" w:pos="1571"/>
          <w:tab w:val="num" w:pos="1276"/>
        </w:tabs>
        <w:spacing w:after="0" w:line="360" w:lineRule="auto"/>
        <w:ind w:left="0" w:firstLine="709"/>
        <w:jc w:val="both"/>
        <w:rPr>
          <w:rFonts w:ascii="Times New Roman" w:hAnsi="Times New Roman"/>
          <w:kern w:val="28"/>
          <w:sz w:val="28"/>
          <w:szCs w:val="28"/>
        </w:rPr>
      </w:pPr>
      <w:r w:rsidRPr="00E070C0">
        <w:rPr>
          <w:rFonts w:ascii="Times New Roman" w:hAnsi="Times New Roman"/>
          <w:kern w:val="28"/>
          <w:sz w:val="28"/>
          <w:szCs w:val="28"/>
        </w:rPr>
        <w:t>облигации федерального займа с переменным купонным доходом (ОФЗ-ПК).</w:t>
      </w:r>
    </w:p>
    <w:p w:rsidR="005B2E3A" w:rsidRPr="00E070C0" w:rsidRDefault="005B2E3A" w:rsidP="00E070C0">
      <w:pPr>
        <w:widowControl w:val="0"/>
        <w:spacing w:after="0" w:line="360" w:lineRule="auto"/>
        <w:ind w:firstLine="709"/>
        <w:jc w:val="both"/>
        <w:rPr>
          <w:rFonts w:ascii="Times New Roman" w:hAnsi="Times New Roman"/>
          <w:kern w:val="28"/>
          <w:sz w:val="28"/>
          <w:szCs w:val="28"/>
        </w:rPr>
      </w:pPr>
      <w:r w:rsidRPr="00E070C0">
        <w:rPr>
          <w:rFonts w:ascii="Times New Roman" w:hAnsi="Times New Roman"/>
          <w:kern w:val="28"/>
          <w:sz w:val="28"/>
          <w:szCs w:val="28"/>
        </w:rPr>
        <w:t>Помимо вышеперечисленных инструментов на данном рынке также представлены государственные облигации Банка России (ОБР), выпускаемые Банком России в целях реализации денежно-кредитной политики.</w:t>
      </w:r>
    </w:p>
    <w:p w:rsidR="005B2E3A" w:rsidRPr="00E070C0" w:rsidRDefault="005B2E3A" w:rsidP="00E070C0">
      <w:pPr>
        <w:widowControl w:val="0"/>
        <w:spacing w:after="0" w:line="360" w:lineRule="auto"/>
        <w:ind w:firstLine="709"/>
        <w:jc w:val="both"/>
        <w:rPr>
          <w:rFonts w:ascii="Times New Roman" w:hAnsi="Times New Roman"/>
          <w:kern w:val="28"/>
          <w:sz w:val="28"/>
          <w:szCs w:val="28"/>
        </w:rPr>
      </w:pPr>
      <w:r w:rsidRPr="00E070C0">
        <w:rPr>
          <w:rFonts w:ascii="Times New Roman" w:hAnsi="Times New Roman"/>
          <w:kern w:val="28"/>
          <w:sz w:val="28"/>
          <w:szCs w:val="28"/>
        </w:rPr>
        <w:t>На рынке государственных облигаций существуют следующие операции:</w:t>
      </w:r>
    </w:p>
    <w:p w:rsidR="005B2E3A" w:rsidRPr="00E070C0" w:rsidRDefault="005B2E3A" w:rsidP="00E070C0">
      <w:pPr>
        <w:widowControl w:val="0"/>
        <w:numPr>
          <w:ilvl w:val="0"/>
          <w:numId w:val="5"/>
        </w:numPr>
        <w:tabs>
          <w:tab w:val="clear" w:pos="1571"/>
          <w:tab w:val="num" w:pos="1276"/>
        </w:tabs>
        <w:spacing w:after="0" w:line="360" w:lineRule="auto"/>
        <w:ind w:left="0" w:firstLine="709"/>
        <w:jc w:val="both"/>
        <w:rPr>
          <w:rFonts w:ascii="Times New Roman" w:hAnsi="Times New Roman"/>
          <w:kern w:val="28"/>
          <w:sz w:val="28"/>
          <w:szCs w:val="28"/>
        </w:rPr>
      </w:pPr>
      <w:r w:rsidRPr="00E070C0">
        <w:rPr>
          <w:rFonts w:ascii="Times New Roman" w:hAnsi="Times New Roman"/>
          <w:kern w:val="28"/>
          <w:sz w:val="28"/>
          <w:szCs w:val="28"/>
        </w:rPr>
        <w:t>операции по размещению государственных облигаций;</w:t>
      </w:r>
    </w:p>
    <w:p w:rsidR="005B2E3A" w:rsidRPr="00E070C0" w:rsidRDefault="005B2E3A" w:rsidP="00E070C0">
      <w:pPr>
        <w:widowControl w:val="0"/>
        <w:numPr>
          <w:ilvl w:val="0"/>
          <w:numId w:val="5"/>
        </w:numPr>
        <w:tabs>
          <w:tab w:val="clear" w:pos="1571"/>
          <w:tab w:val="num" w:pos="1276"/>
        </w:tabs>
        <w:spacing w:after="0" w:line="360" w:lineRule="auto"/>
        <w:ind w:left="0" w:firstLine="709"/>
        <w:jc w:val="both"/>
        <w:rPr>
          <w:rFonts w:ascii="Times New Roman" w:hAnsi="Times New Roman"/>
          <w:kern w:val="28"/>
          <w:sz w:val="28"/>
          <w:szCs w:val="28"/>
        </w:rPr>
      </w:pPr>
      <w:r w:rsidRPr="00E070C0">
        <w:rPr>
          <w:rFonts w:ascii="Times New Roman" w:hAnsi="Times New Roman"/>
          <w:kern w:val="28"/>
          <w:sz w:val="28"/>
          <w:szCs w:val="28"/>
        </w:rPr>
        <w:t>операции, осуществление которых возможно при обращении государственных облигаций на вторичном рынке;</w:t>
      </w:r>
    </w:p>
    <w:p w:rsidR="005B2E3A" w:rsidRPr="00E070C0" w:rsidRDefault="005B2E3A" w:rsidP="00E070C0">
      <w:pPr>
        <w:widowControl w:val="0"/>
        <w:numPr>
          <w:ilvl w:val="0"/>
          <w:numId w:val="5"/>
        </w:numPr>
        <w:tabs>
          <w:tab w:val="clear" w:pos="1571"/>
          <w:tab w:val="num" w:pos="1276"/>
        </w:tabs>
        <w:spacing w:after="0" w:line="360" w:lineRule="auto"/>
        <w:ind w:left="0" w:firstLine="709"/>
        <w:jc w:val="both"/>
        <w:rPr>
          <w:rFonts w:ascii="Times New Roman" w:hAnsi="Times New Roman"/>
          <w:kern w:val="28"/>
          <w:sz w:val="28"/>
          <w:szCs w:val="28"/>
        </w:rPr>
      </w:pPr>
      <w:r w:rsidRPr="00E070C0">
        <w:rPr>
          <w:rFonts w:ascii="Times New Roman" w:hAnsi="Times New Roman"/>
          <w:kern w:val="28"/>
          <w:sz w:val="28"/>
          <w:szCs w:val="28"/>
        </w:rPr>
        <w:t>операции по обслуживанию выпусков ГКО / ОФЗ.</w:t>
      </w:r>
    </w:p>
    <w:p w:rsidR="005B2E3A" w:rsidRPr="00E070C0" w:rsidRDefault="005B2E3A" w:rsidP="00E070C0">
      <w:pPr>
        <w:widowControl w:val="0"/>
        <w:spacing w:after="0" w:line="360" w:lineRule="auto"/>
        <w:ind w:firstLine="709"/>
        <w:jc w:val="both"/>
        <w:rPr>
          <w:rFonts w:ascii="Times New Roman" w:hAnsi="Times New Roman"/>
          <w:kern w:val="28"/>
          <w:sz w:val="28"/>
          <w:szCs w:val="28"/>
        </w:rPr>
      </w:pPr>
      <w:r w:rsidRPr="00E070C0">
        <w:rPr>
          <w:rFonts w:ascii="Times New Roman" w:hAnsi="Times New Roman"/>
          <w:kern w:val="28"/>
          <w:sz w:val="28"/>
          <w:szCs w:val="28"/>
        </w:rPr>
        <w:t>Эмитентом государственных облигаций от имени Российской Федерации выступает Министерство финансов Российской Федерации. Генеральным агентом по обслуживанию выпусков государственных облигаций является Центральный банк Российской Федерации (Банк России). Размещение выпуска государственных облигаций осуществляется Банком России по поручению Министерства финансов РФ в форме аукциона или по закрытой подписке. Также возможно доразмещение государственных облигаций на вторичных торгах. Информация о планируемых аукционах распространяется заранее пресс-службами Министерства финансов РФ и ММВБ.</w:t>
      </w:r>
    </w:p>
    <w:p w:rsidR="005B2E3A" w:rsidRPr="00E070C0" w:rsidRDefault="005B2E3A" w:rsidP="00E070C0">
      <w:pPr>
        <w:widowControl w:val="0"/>
        <w:spacing w:after="0" w:line="360" w:lineRule="auto"/>
        <w:ind w:firstLine="709"/>
        <w:jc w:val="both"/>
        <w:rPr>
          <w:rFonts w:ascii="Times New Roman" w:hAnsi="Times New Roman"/>
          <w:kern w:val="28"/>
          <w:sz w:val="28"/>
          <w:szCs w:val="28"/>
        </w:rPr>
      </w:pPr>
      <w:r w:rsidRPr="00E070C0">
        <w:rPr>
          <w:rFonts w:ascii="Times New Roman" w:hAnsi="Times New Roman"/>
          <w:kern w:val="28"/>
          <w:sz w:val="28"/>
          <w:szCs w:val="28"/>
        </w:rPr>
        <w:t>Торги на рынке ГКО / ОФЗ проводятся ежедневно, за исключением выходных и праздничных дней. Расписание проведения торгов определяется Банком России.</w:t>
      </w:r>
    </w:p>
    <w:p w:rsidR="005B2E3A" w:rsidRPr="00E070C0" w:rsidRDefault="005B2E3A" w:rsidP="00E070C0">
      <w:pPr>
        <w:widowControl w:val="0"/>
        <w:spacing w:after="0" w:line="360" w:lineRule="auto"/>
        <w:ind w:firstLine="709"/>
        <w:jc w:val="both"/>
        <w:rPr>
          <w:rFonts w:ascii="Times New Roman" w:hAnsi="Times New Roman"/>
          <w:kern w:val="28"/>
          <w:sz w:val="28"/>
          <w:szCs w:val="28"/>
        </w:rPr>
      </w:pPr>
      <w:r w:rsidRPr="00E070C0">
        <w:rPr>
          <w:rFonts w:ascii="Times New Roman" w:hAnsi="Times New Roman"/>
          <w:kern w:val="28"/>
          <w:sz w:val="28"/>
          <w:szCs w:val="28"/>
        </w:rPr>
        <w:t>Участниками российского рынка государственных облигаций являются: эмитент в лице Министерства финансов РФ; генеральный агент в лице Центрального Банка РФ, который обеспечивает организационную сторону функционирования этого рынка (регулирование, аукционы, погашение и пр.); депозитарии, ведущие учет облигаций, выпущенных в безналичной форме; дилеры, представленные коммерческими банками и профессиональными участниками рынка ценных бумаг, заключающие сделки; и инвесторы, как отечественные, так и иностранные, приобретающие госбумаги. Торговой системой выступает Московская межбанковская валютная биржа (ММВБ). Вторичные торги проводят и региональные биржевые площадки, в частности – СПВБ (Санкт-Петербургская Валютная биржа).</w:t>
      </w:r>
    </w:p>
    <w:p w:rsidR="00435CD9" w:rsidRPr="00E070C0" w:rsidRDefault="005B2E3A" w:rsidP="00E070C0">
      <w:pPr>
        <w:widowControl w:val="0"/>
        <w:spacing w:after="0" w:line="360" w:lineRule="auto"/>
        <w:ind w:firstLine="709"/>
        <w:jc w:val="both"/>
        <w:rPr>
          <w:rFonts w:ascii="Times New Roman" w:hAnsi="Times New Roman"/>
          <w:kern w:val="28"/>
          <w:sz w:val="28"/>
          <w:szCs w:val="28"/>
        </w:rPr>
      </w:pPr>
      <w:r w:rsidRPr="00E070C0">
        <w:rPr>
          <w:rFonts w:ascii="Times New Roman" w:hAnsi="Times New Roman"/>
          <w:kern w:val="28"/>
          <w:sz w:val="28"/>
          <w:szCs w:val="28"/>
        </w:rPr>
        <w:t>Риск вложения в гособлигации принято считать минимальным в рамках конкретной экономической системы. Это обуславливает низкую доходность по данным инструментам. Таким образом, государственные облигации РФ могут быть интересны инвестору в качестве безрисковой составляющей общего инвестиционного портфеля.</w:t>
      </w:r>
    </w:p>
    <w:p w:rsidR="00435CD9" w:rsidRPr="00E070C0" w:rsidRDefault="00435CD9" w:rsidP="00E070C0">
      <w:pPr>
        <w:widowControl w:val="0"/>
        <w:spacing w:after="0" w:line="360" w:lineRule="auto"/>
        <w:ind w:firstLine="709"/>
        <w:contextualSpacing/>
        <w:jc w:val="both"/>
        <w:rPr>
          <w:rFonts w:ascii="Times New Roman" w:hAnsi="Times New Roman"/>
          <w:sz w:val="28"/>
          <w:szCs w:val="28"/>
        </w:rPr>
      </w:pPr>
      <w:r w:rsidRPr="00E070C0">
        <w:rPr>
          <w:rFonts w:ascii="Times New Roman" w:hAnsi="Times New Roman"/>
          <w:sz w:val="28"/>
          <w:szCs w:val="28"/>
        </w:rPr>
        <w:t xml:space="preserve">Объем долгового рынка на конец 2004 года составлял приблизительно 954 млрд.руб., из них на обязательств Минфина приходилось 560 млрд. руб., а на долги субъектов федерации – 130 млрд.руб. Таким образом, более 70% от объема долгового рынка приходилось так или иначе на государственный долг. </w:t>
      </w:r>
    </w:p>
    <w:p w:rsidR="00435CD9" w:rsidRPr="00E070C0" w:rsidRDefault="00435CD9" w:rsidP="00E070C0">
      <w:pPr>
        <w:widowControl w:val="0"/>
        <w:spacing w:after="0" w:line="360" w:lineRule="auto"/>
        <w:ind w:firstLine="709"/>
        <w:contextualSpacing/>
        <w:jc w:val="both"/>
        <w:rPr>
          <w:rFonts w:ascii="Times New Roman" w:hAnsi="Times New Roman"/>
          <w:sz w:val="28"/>
          <w:szCs w:val="28"/>
        </w:rPr>
      </w:pPr>
      <w:r w:rsidRPr="00E070C0">
        <w:rPr>
          <w:rFonts w:ascii="Times New Roman" w:hAnsi="Times New Roman"/>
          <w:sz w:val="28"/>
          <w:szCs w:val="28"/>
        </w:rPr>
        <w:t>В 2006 году сектор корпоративных облигаций практически догнал сектор государственных бумаг, объем обращающегося корпоративного долга вырос с 480 до 786 миллиардов рублей.</w:t>
      </w:r>
    </w:p>
    <w:p w:rsidR="00EA1635" w:rsidRPr="00E070C0" w:rsidRDefault="00435CD9" w:rsidP="00E070C0">
      <w:pPr>
        <w:widowControl w:val="0"/>
        <w:spacing w:after="0" w:line="360" w:lineRule="auto"/>
        <w:ind w:firstLine="709"/>
        <w:contextualSpacing/>
        <w:jc w:val="both"/>
        <w:rPr>
          <w:rFonts w:ascii="Times New Roman" w:hAnsi="Times New Roman"/>
          <w:sz w:val="28"/>
          <w:szCs w:val="28"/>
        </w:rPr>
      </w:pPr>
      <w:r w:rsidRPr="00E070C0">
        <w:rPr>
          <w:rFonts w:ascii="Times New Roman" w:hAnsi="Times New Roman"/>
          <w:sz w:val="28"/>
          <w:szCs w:val="28"/>
        </w:rPr>
        <w:t>К концу 2007 году наступил перелом и объем корпоративного долга превысил на 10% объем государственного долга, (при том, что государственный долг продолжал все это время расти).</w:t>
      </w:r>
    </w:p>
    <w:p w:rsidR="00435CD9" w:rsidRPr="00E070C0" w:rsidRDefault="00435CD9" w:rsidP="00E070C0">
      <w:pPr>
        <w:widowControl w:val="0"/>
        <w:spacing w:after="0" w:line="360" w:lineRule="auto"/>
        <w:ind w:firstLine="709"/>
        <w:contextualSpacing/>
        <w:jc w:val="both"/>
        <w:rPr>
          <w:rFonts w:ascii="Times New Roman" w:hAnsi="Times New Roman"/>
          <w:sz w:val="28"/>
          <w:szCs w:val="28"/>
        </w:rPr>
      </w:pPr>
      <w:r w:rsidRPr="00E070C0">
        <w:rPr>
          <w:rFonts w:ascii="Times New Roman" w:hAnsi="Times New Roman"/>
          <w:sz w:val="28"/>
          <w:szCs w:val="28"/>
        </w:rPr>
        <w:t>На текущий момент на рынке обращаются чуть менее 700 выпусков облигаций (без учета ОФЗ) и порядка 500 эмитентов, включая выпуски субъектов федерации. При этом наиболее крупными заемщиками на публичном рынке по объему выпущенных облигаций выступают: Москва (159 млрд.руб. – 11 выпусков), затем идет Газпромбанк 50 млрд.руб. – 4 выпуска, московская область 49,6 млрд., ВТБ - 35 млрд. руб. (три выпуска), АИЖК - 10 выпусков на 29 млрд.руб., РЖД - 4 выпуска на общую сумму 29 млрд. руб. Россельхозбанк – 3 выпуска на сумму 27 млрд.рублей, Газпром 5 выпусков на 25 млрд.руб.</w:t>
      </w:r>
    </w:p>
    <w:p w:rsidR="00435CD9" w:rsidRPr="00E070C0" w:rsidRDefault="00435CD9" w:rsidP="00E070C0">
      <w:pPr>
        <w:widowControl w:val="0"/>
        <w:spacing w:after="0" w:line="360" w:lineRule="auto"/>
        <w:ind w:firstLine="709"/>
        <w:contextualSpacing/>
        <w:jc w:val="both"/>
        <w:rPr>
          <w:rFonts w:ascii="Times New Roman" w:hAnsi="Times New Roman"/>
          <w:sz w:val="28"/>
          <w:szCs w:val="28"/>
        </w:rPr>
      </w:pPr>
      <w:r w:rsidRPr="00E070C0">
        <w:rPr>
          <w:rFonts w:ascii="Times New Roman" w:hAnsi="Times New Roman"/>
          <w:sz w:val="28"/>
          <w:szCs w:val="28"/>
        </w:rPr>
        <w:t>В котировальный список высшего уровня входит 110 выпусков, совокупным объемом 330 млрд. при общем объеме 1,57 трлн. руб. (т.е. около 20%).</w:t>
      </w:r>
    </w:p>
    <w:p w:rsidR="00435CD9" w:rsidRPr="00E070C0" w:rsidRDefault="00435CD9" w:rsidP="00E070C0">
      <w:pPr>
        <w:widowControl w:val="0"/>
        <w:spacing w:after="0" w:line="360" w:lineRule="auto"/>
        <w:ind w:firstLine="709"/>
        <w:contextualSpacing/>
        <w:jc w:val="both"/>
        <w:rPr>
          <w:rFonts w:ascii="Times New Roman" w:hAnsi="Times New Roman"/>
          <w:sz w:val="28"/>
          <w:szCs w:val="28"/>
        </w:rPr>
      </w:pPr>
      <w:r w:rsidRPr="00E070C0">
        <w:rPr>
          <w:rFonts w:ascii="Times New Roman" w:hAnsi="Times New Roman"/>
          <w:sz w:val="28"/>
          <w:szCs w:val="28"/>
        </w:rPr>
        <w:t xml:space="preserve">На долговом рынке существует пять основных групп инвестиционных инструментов. Первый инструмент это ГКО ОФЗ – государственные облигации, выпущенные Минфином. На текущий момент в обращении находится около 30 выпусков, 8 из которых можно назвать ликвидными. </w:t>
      </w:r>
    </w:p>
    <w:p w:rsidR="00435CD9" w:rsidRPr="00E070C0" w:rsidRDefault="00435CD9" w:rsidP="00E070C0">
      <w:pPr>
        <w:widowControl w:val="0"/>
        <w:spacing w:after="0" w:line="360" w:lineRule="auto"/>
        <w:ind w:firstLine="709"/>
        <w:contextualSpacing/>
        <w:jc w:val="both"/>
        <w:rPr>
          <w:rFonts w:ascii="Times New Roman" w:hAnsi="Times New Roman"/>
          <w:sz w:val="28"/>
          <w:szCs w:val="28"/>
        </w:rPr>
      </w:pPr>
      <w:r w:rsidRPr="00E070C0">
        <w:rPr>
          <w:rFonts w:ascii="Times New Roman" w:hAnsi="Times New Roman"/>
          <w:sz w:val="28"/>
          <w:szCs w:val="28"/>
        </w:rPr>
        <w:t>Основным сегментом рынка рублевых облигаций является финансовый сектор. На его долю приходится порядка 30% от общего объема обращающихся рублевых выпусков и более 50% еврооблигаций. Надо заметить, что финансовый сектор лидирует с большим отрывом, и это обосновано не только агрессивной политикой заимствования, поддерживаемой ростом потребительского кредитования, но и большей прозрачностью эмитентов этого сектора (практически все банки имеют отчетность по МСФО),</w:t>
      </w:r>
      <w:r w:rsidR="00E070C0">
        <w:rPr>
          <w:rFonts w:ascii="Times New Roman" w:hAnsi="Times New Roman"/>
          <w:sz w:val="28"/>
          <w:szCs w:val="28"/>
        </w:rPr>
        <w:t xml:space="preserve"> </w:t>
      </w:r>
      <w:r w:rsidRPr="00E070C0">
        <w:rPr>
          <w:rFonts w:ascii="Times New Roman" w:hAnsi="Times New Roman"/>
          <w:sz w:val="28"/>
          <w:szCs w:val="28"/>
        </w:rPr>
        <w:t>открывающей им легкий доступ к долговому рынку.</w:t>
      </w:r>
    </w:p>
    <w:p w:rsidR="00435CD9" w:rsidRPr="00E070C0" w:rsidRDefault="00435CD9" w:rsidP="00E070C0">
      <w:pPr>
        <w:widowControl w:val="0"/>
        <w:spacing w:after="0" w:line="360" w:lineRule="auto"/>
        <w:ind w:firstLine="709"/>
        <w:contextualSpacing/>
        <w:jc w:val="both"/>
        <w:rPr>
          <w:rFonts w:ascii="Times New Roman" w:hAnsi="Times New Roman"/>
          <w:sz w:val="28"/>
          <w:szCs w:val="28"/>
        </w:rPr>
      </w:pPr>
      <w:r w:rsidRPr="00E070C0">
        <w:rPr>
          <w:rFonts w:ascii="Times New Roman" w:hAnsi="Times New Roman"/>
          <w:sz w:val="28"/>
          <w:szCs w:val="28"/>
        </w:rPr>
        <w:t>Крупнейшим заемщиком в сегменте рублевых облигаций выступает ВТБ (11% финансового рублевого сектора), далее следует Россельхозбанк</w:t>
      </w:r>
      <w:r w:rsidR="00E070C0">
        <w:rPr>
          <w:rFonts w:ascii="Times New Roman" w:hAnsi="Times New Roman"/>
          <w:sz w:val="28"/>
          <w:szCs w:val="28"/>
        </w:rPr>
        <w:t xml:space="preserve"> </w:t>
      </w:r>
      <w:r w:rsidRPr="00E070C0">
        <w:rPr>
          <w:rFonts w:ascii="Times New Roman" w:hAnsi="Times New Roman"/>
          <w:sz w:val="28"/>
          <w:szCs w:val="28"/>
        </w:rPr>
        <w:t>и АИЖК, занимающие по 8%. Заметную долю на рынке имеет и Банк Русский Стандарт с 7%.</w:t>
      </w:r>
    </w:p>
    <w:p w:rsidR="00435CD9" w:rsidRPr="00E070C0" w:rsidRDefault="00435CD9" w:rsidP="00E070C0">
      <w:pPr>
        <w:widowControl w:val="0"/>
        <w:spacing w:after="0" w:line="360" w:lineRule="auto"/>
        <w:ind w:firstLine="709"/>
        <w:contextualSpacing/>
        <w:jc w:val="both"/>
        <w:rPr>
          <w:rFonts w:ascii="Times New Roman" w:hAnsi="Times New Roman"/>
          <w:sz w:val="28"/>
          <w:szCs w:val="28"/>
        </w:rPr>
      </w:pPr>
      <w:r w:rsidRPr="00E070C0">
        <w:rPr>
          <w:rFonts w:ascii="Times New Roman" w:hAnsi="Times New Roman"/>
          <w:sz w:val="28"/>
          <w:szCs w:val="28"/>
        </w:rPr>
        <w:t>В секторе еврооблигаций пятерка лидеров выглядит следующим образом: ВТБ – 23%, Газпромбанк – 9%, Банк Русский стандарт 8%, Россельхозбанк – 7%, Альфа Банк – 7%.</w:t>
      </w:r>
    </w:p>
    <w:p w:rsidR="00435CD9" w:rsidRPr="00E070C0" w:rsidRDefault="00435CD9" w:rsidP="00E070C0">
      <w:pPr>
        <w:widowControl w:val="0"/>
        <w:spacing w:after="0" w:line="360" w:lineRule="auto"/>
        <w:ind w:firstLine="709"/>
        <w:contextualSpacing/>
        <w:jc w:val="both"/>
        <w:rPr>
          <w:rFonts w:ascii="Times New Roman" w:hAnsi="Times New Roman"/>
          <w:sz w:val="28"/>
          <w:szCs w:val="28"/>
        </w:rPr>
      </w:pPr>
      <w:r w:rsidRPr="00E070C0">
        <w:rPr>
          <w:rFonts w:ascii="Times New Roman" w:hAnsi="Times New Roman"/>
          <w:sz w:val="28"/>
          <w:szCs w:val="28"/>
        </w:rPr>
        <w:t>Следующим крупным сегментом рынка облигаций является пищевая промышленность и розничная торговля, которые занимают в общей сложности 16% рублевого долгового рынка и 1,6% рынке евробондов. Этот сегмент рынка имеет сильно дисперсную структуру. Крупнейшие заемщики X5 Retail Group и Копейка имеют долю всего по 6%, за ними следуют Магнит и Седьмой континент, имеющие по 4% рынка. Доля компаний, занимающих менее 2% отраслевого сегмента, составляет более 50%. Этот сегмент является одним из самых привлекательных. Во-первых, отрасль сама по себе имеет очень хорошие перспективы, что напрямую связано с ростом потребительских расходов в России. Во-вторых, компании размещаются с очень привлекательной купонной доходностью, и мы имели возможность наблюдать ее сокращение по мере развития эмитентов (X5). И, в-третьих, здесь возможны слияния и поглощения, посему здесь есть что «ловить».</w:t>
      </w:r>
    </w:p>
    <w:p w:rsidR="00435CD9" w:rsidRPr="00E070C0" w:rsidRDefault="00435CD9" w:rsidP="00E070C0">
      <w:pPr>
        <w:widowControl w:val="0"/>
        <w:spacing w:after="0" w:line="360" w:lineRule="auto"/>
        <w:ind w:firstLine="709"/>
        <w:contextualSpacing/>
        <w:jc w:val="both"/>
        <w:rPr>
          <w:rFonts w:ascii="Times New Roman" w:hAnsi="Times New Roman"/>
          <w:sz w:val="28"/>
          <w:szCs w:val="28"/>
        </w:rPr>
      </w:pPr>
      <w:r w:rsidRPr="00E070C0">
        <w:rPr>
          <w:rFonts w:ascii="Times New Roman" w:hAnsi="Times New Roman"/>
          <w:sz w:val="28"/>
          <w:szCs w:val="28"/>
        </w:rPr>
        <w:t>Электроэнергетика. Вес этого сектора на рублевом рынке к концу 2007 года достиг 9% (0,2% рынке евробондов). В обращении находятся рублевые облигации 25 электроэнергетических компаний. Крупнейшим заемщиком в этой отрасли является ФСК ЕЭС (27%), за ней следует Мосэнерго (9%), Ленэнерго (5%) , МОЭСК (5%), ОГК-2 (4%).</w:t>
      </w:r>
    </w:p>
    <w:p w:rsidR="00435CD9" w:rsidRPr="00E070C0" w:rsidRDefault="00435CD9" w:rsidP="00E070C0">
      <w:pPr>
        <w:widowControl w:val="0"/>
        <w:spacing w:after="0" w:line="360" w:lineRule="auto"/>
        <w:ind w:firstLine="709"/>
        <w:contextualSpacing/>
        <w:jc w:val="both"/>
        <w:rPr>
          <w:rFonts w:ascii="Times New Roman" w:hAnsi="Times New Roman"/>
          <w:sz w:val="28"/>
          <w:szCs w:val="28"/>
        </w:rPr>
      </w:pPr>
      <w:r w:rsidRPr="00E070C0">
        <w:rPr>
          <w:rFonts w:ascii="Times New Roman" w:hAnsi="Times New Roman"/>
          <w:sz w:val="28"/>
          <w:szCs w:val="28"/>
        </w:rPr>
        <w:t>Машиностроение занимает (8% рублевого долгового рынка, 0,8% еврооблигаций). Машиностроительные компании разместили несколько облигационных выпусков, эмитентами которых являются крупные предприятия. Крупнейшими заемщиками в этом сегменте являются Автоваз (11%), НПО «Сатурн» (8%), ГАЗ, ГСС, Уралвагонзавод, Промтрактор, Северсталь-Авто по 5%, МиГ, Трансмашхолдинг, Иркут, Уфимское МПО по 4%.</w:t>
      </w:r>
    </w:p>
    <w:p w:rsidR="00435CD9" w:rsidRPr="00E070C0" w:rsidRDefault="00435CD9" w:rsidP="00E070C0">
      <w:pPr>
        <w:widowControl w:val="0"/>
        <w:spacing w:after="0" w:line="360" w:lineRule="auto"/>
        <w:ind w:firstLine="709"/>
        <w:contextualSpacing/>
        <w:jc w:val="both"/>
        <w:rPr>
          <w:rFonts w:ascii="Times New Roman" w:hAnsi="Times New Roman"/>
          <w:sz w:val="28"/>
          <w:szCs w:val="28"/>
        </w:rPr>
      </w:pPr>
      <w:r w:rsidRPr="00E070C0">
        <w:rPr>
          <w:rFonts w:ascii="Times New Roman" w:hAnsi="Times New Roman"/>
          <w:sz w:val="28"/>
          <w:szCs w:val="28"/>
        </w:rPr>
        <w:t>Горно-металлургическая промышленность (5% рублевого рынка, 6,2% рынка еврооблигаций). В рублевых облигациях этого сектора</w:t>
      </w:r>
      <w:r w:rsidR="00E070C0">
        <w:rPr>
          <w:rFonts w:ascii="Times New Roman" w:hAnsi="Times New Roman"/>
          <w:sz w:val="28"/>
          <w:szCs w:val="28"/>
        </w:rPr>
        <w:t xml:space="preserve"> </w:t>
      </w:r>
      <w:r w:rsidRPr="00E070C0">
        <w:rPr>
          <w:rFonts w:ascii="Times New Roman" w:hAnsi="Times New Roman"/>
          <w:sz w:val="28"/>
          <w:szCs w:val="28"/>
        </w:rPr>
        <w:t xml:space="preserve">крупнейшими заемщиками выступают Мечел – 13%, Кокс, ТМК по 10%, РусАл – 8%, Магнезит – 5%, Амурметал и Белон по 4%. </w:t>
      </w:r>
    </w:p>
    <w:p w:rsidR="00435CD9" w:rsidRPr="00E070C0" w:rsidRDefault="00435CD9" w:rsidP="00E070C0">
      <w:pPr>
        <w:widowControl w:val="0"/>
        <w:spacing w:after="0" w:line="360" w:lineRule="auto"/>
        <w:ind w:firstLine="709"/>
        <w:contextualSpacing/>
        <w:jc w:val="both"/>
        <w:rPr>
          <w:rFonts w:ascii="Times New Roman" w:hAnsi="Times New Roman"/>
          <w:sz w:val="28"/>
          <w:szCs w:val="28"/>
        </w:rPr>
      </w:pPr>
      <w:r w:rsidRPr="00E070C0">
        <w:rPr>
          <w:rFonts w:ascii="Times New Roman" w:hAnsi="Times New Roman"/>
          <w:sz w:val="28"/>
          <w:szCs w:val="28"/>
        </w:rPr>
        <w:t>Структура этого сегмента в еврооблигациях выглядит совсем иначе. Здесь по объему привлеченных средств лидируют Алроса (30% отраслевого сегмента) и Евраз (21%), за ними следуют Северсталь (14%) и Норникель (10%).</w:t>
      </w:r>
    </w:p>
    <w:p w:rsidR="00435CD9" w:rsidRPr="00E070C0" w:rsidRDefault="00435CD9" w:rsidP="00E070C0">
      <w:pPr>
        <w:widowControl w:val="0"/>
        <w:spacing w:after="0" w:line="360" w:lineRule="auto"/>
        <w:ind w:firstLine="709"/>
        <w:contextualSpacing/>
        <w:jc w:val="both"/>
        <w:rPr>
          <w:rFonts w:ascii="Times New Roman" w:hAnsi="Times New Roman"/>
          <w:sz w:val="28"/>
          <w:szCs w:val="28"/>
        </w:rPr>
      </w:pPr>
      <w:r w:rsidRPr="00E070C0">
        <w:rPr>
          <w:rFonts w:ascii="Times New Roman" w:hAnsi="Times New Roman"/>
          <w:sz w:val="28"/>
          <w:szCs w:val="28"/>
        </w:rPr>
        <w:t>Надо сказать, что эмитенты этого сегмента отличаются достаточно высоким кредитным качеством и уровнем прозрачности, поэтому рассчитывать на изначально высокую купонную доходность в этом секторе не приходится.</w:t>
      </w:r>
    </w:p>
    <w:p w:rsidR="00435CD9" w:rsidRPr="00E070C0" w:rsidRDefault="00435CD9" w:rsidP="00E070C0">
      <w:pPr>
        <w:widowControl w:val="0"/>
        <w:spacing w:after="0" w:line="360" w:lineRule="auto"/>
        <w:ind w:firstLine="709"/>
        <w:contextualSpacing/>
        <w:jc w:val="both"/>
        <w:rPr>
          <w:rFonts w:ascii="Times New Roman" w:hAnsi="Times New Roman"/>
          <w:sz w:val="28"/>
          <w:szCs w:val="28"/>
        </w:rPr>
      </w:pPr>
      <w:r w:rsidRPr="00E070C0">
        <w:rPr>
          <w:rFonts w:ascii="Times New Roman" w:hAnsi="Times New Roman"/>
          <w:sz w:val="28"/>
          <w:szCs w:val="28"/>
        </w:rPr>
        <w:t>Телекоммуникационный сектор (5% рынка рублевого долга, 3,9% еврооблигаций). В части рублевого долга он представлен 13-ю эмитентами. Крупнейшими заемщиками на рублевом рынке являются ЮТК – 18%, ЦентрТелеком – 14%, Волгателеком – 13%, Сибирьтелеком, Уралсвязьинформ - 11% , Сев.-Зап. Телеком – 8%.</w:t>
      </w:r>
    </w:p>
    <w:p w:rsidR="00435CD9" w:rsidRPr="00E070C0" w:rsidRDefault="00435CD9" w:rsidP="00E070C0">
      <w:pPr>
        <w:widowControl w:val="0"/>
        <w:spacing w:after="0" w:line="360" w:lineRule="auto"/>
        <w:ind w:firstLine="709"/>
        <w:contextualSpacing/>
        <w:jc w:val="both"/>
        <w:rPr>
          <w:rFonts w:ascii="Times New Roman" w:hAnsi="Times New Roman"/>
          <w:sz w:val="28"/>
          <w:szCs w:val="28"/>
        </w:rPr>
      </w:pPr>
      <w:r w:rsidRPr="00E070C0">
        <w:rPr>
          <w:rFonts w:ascii="Times New Roman" w:hAnsi="Times New Roman"/>
          <w:sz w:val="28"/>
          <w:szCs w:val="28"/>
        </w:rPr>
        <w:t>На рынке Еврооблигаций крупнейшими заемщиками являются компании сотовой связи Вымпелком – 33%,</w:t>
      </w:r>
      <w:r w:rsidR="00E070C0">
        <w:rPr>
          <w:rFonts w:ascii="Times New Roman" w:hAnsi="Times New Roman"/>
          <w:sz w:val="28"/>
          <w:szCs w:val="28"/>
        </w:rPr>
        <w:t xml:space="preserve"> </w:t>
      </w:r>
      <w:r w:rsidRPr="00E070C0">
        <w:rPr>
          <w:rFonts w:ascii="Times New Roman" w:hAnsi="Times New Roman"/>
          <w:sz w:val="28"/>
          <w:szCs w:val="28"/>
        </w:rPr>
        <w:t>МТС – 28%, АФК «Система» 16%, Мегафон – 9%.</w:t>
      </w:r>
    </w:p>
    <w:p w:rsidR="00435CD9" w:rsidRPr="00E070C0" w:rsidRDefault="00435CD9" w:rsidP="00E070C0">
      <w:pPr>
        <w:widowControl w:val="0"/>
        <w:spacing w:after="0" w:line="360" w:lineRule="auto"/>
        <w:ind w:firstLine="709"/>
        <w:contextualSpacing/>
        <w:jc w:val="both"/>
        <w:rPr>
          <w:rFonts w:ascii="Times New Roman" w:hAnsi="Times New Roman"/>
          <w:sz w:val="28"/>
          <w:szCs w:val="28"/>
        </w:rPr>
      </w:pPr>
      <w:r w:rsidRPr="00E070C0">
        <w:rPr>
          <w:rFonts w:ascii="Times New Roman" w:hAnsi="Times New Roman"/>
          <w:sz w:val="28"/>
          <w:szCs w:val="28"/>
        </w:rPr>
        <w:t>Нефтегазовый сектор (доля в 2% на рублевом рынке и 31,5% на рынке еврооблигаций). Крупнейшим заемщиком выступает Газпром</w:t>
      </w:r>
      <w:r w:rsidR="00E070C0">
        <w:rPr>
          <w:rFonts w:ascii="Times New Roman" w:hAnsi="Times New Roman"/>
          <w:sz w:val="28"/>
          <w:szCs w:val="28"/>
        </w:rPr>
        <w:t xml:space="preserve"> </w:t>
      </w:r>
      <w:r w:rsidRPr="00E070C0">
        <w:rPr>
          <w:rFonts w:ascii="Times New Roman" w:hAnsi="Times New Roman"/>
          <w:sz w:val="28"/>
          <w:szCs w:val="28"/>
        </w:rPr>
        <w:t>с 23,5%, ЛУКОЙЛ – 20%, Стройтрансгаз – 8%, Русснефть – 7%.</w:t>
      </w:r>
    </w:p>
    <w:p w:rsidR="00435CD9" w:rsidRPr="00E070C0" w:rsidRDefault="00435CD9" w:rsidP="00E070C0">
      <w:pPr>
        <w:widowControl w:val="0"/>
        <w:spacing w:after="0" w:line="360" w:lineRule="auto"/>
        <w:ind w:firstLine="709"/>
        <w:contextualSpacing/>
        <w:jc w:val="both"/>
        <w:rPr>
          <w:rFonts w:ascii="Times New Roman" w:hAnsi="Times New Roman"/>
          <w:sz w:val="28"/>
          <w:szCs w:val="28"/>
        </w:rPr>
      </w:pPr>
      <w:r w:rsidRPr="00E070C0">
        <w:rPr>
          <w:rFonts w:ascii="Times New Roman" w:hAnsi="Times New Roman"/>
          <w:sz w:val="28"/>
          <w:szCs w:val="28"/>
        </w:rPr>
        <w:t>В еврооблигациях безусловным лидером является Газпром с 71%, ТНК-BP – 14%, Транснефть – 9%, ЛУКОЙЛ – 3%.</w:t>
      </w:r>
    </w:p>
    <w:p w:rsidR="00EE7923" w:rsidRPr="00E070C0" w:rsidRDefault="00EE7923" w:rsidP="00E070C0">
      <w:pPr>
        <w:widowControl w:val="0"/>
        <w:spacing w:after="0" w:line="360" w:lineRule="auto"/>
        <w:ind w:firstLine="709"/>
        <w:contextualSpacing/>
        <w:jc w:val="both"/>
        <w:rPr>
          <w:rFonts w:ascii="Times New Roman" w:hAnsi="Times New Roman"/>
          <w:sz w:val="28"/>
          <w:szCs w:val="28"/>
        </w:rPr>
      </w:pPr>
    </w:p>
    <w:p w:rsidR="00E070C0" w:rsidRDefault="00E070C0">
      <w:pPr>
        <w:rPr>
          <w:rFonts w:ascii="Times New Roman" w:hAnsi="Times New Roman"/>
          <w:sz w:val="28"/>
          <w:szCs w:val="28"/>
        </w:rPr>
      </w:pPr>
      <w:r>
        <w:rPr>
          <w:rFonts w:ascii="Times New Roman" w:hAnsi="Times New Roman"/>
          <w:sz w:val="28"/>
          <w:szCs w:val="28"/>
        </w:rPr>
        <w:br w:type="page"/>
      </w:r>
    </w:p>
    <w:p w:rsidR="00EE7923" w:rsidRPr="00E070C0" w:rsidRDefault="00EE7923" w:rsidP="00E070C0">
      <w:pPr>
        <w:widowControl w:val="0"/>
        <w:spacing w:after="0" w:line="360" w:lineRule="auto"/>
        <w:ind w:firstLine="709"/>
        <w:jc w:val="both"/>
        <w:rPr>
          <w:rFonts w:ascii="Times New Roman" w:hAnsi="Times New Roman"/>
          <w:b/>
          <w:sz w:val="28"/>
          <w:szCs w:val="28"/>
        </w:rPr>
      </w:pPr>
      <w:r w:rsidRPr="00E070C0">
        <w:rPr>
          <w:rFonts w:ascii="Times New Roman" w:hAnsi="Times New Roman"/>
          <w:b/>
          <w:sz w:val="28"/>
          <w:szCs w:val="28"/>
        </w:rPr>
        <w:t>Заключение</w:t>
      </w:r>
    </w:p>
    <w:p w:rsidR="00E070C0" w:rsidRDefault="00E070C0" w:rsidP="00E070C0">
      <w:pPr>
        <w:pStyle w:val="a6"/>
        <w:widowControl w:val="0"/>
        <w:ind w:firstLine="709"/>
      </w:pPr>
    </w:p>
    <w:p w:rsidR="00EE7923" w:rsidRPr="00E070C0" w:rsidRDefault="00EE7923" w:rsidP="00E070C0">
      <w:pPr>
        <w:pStyle w:val="a6"/>
        <w:widowControl w:val="0"/>
        <w:ind w:firstLine="709"/>
      </w:pPr>
      <w:r w:rsidRPr="00E070C0">
        <w:t>Рынок государственных облигаций является достойной альтернативой рынку банковских депозитов для юридических лиц и сберегательных вкладов для физических лиц, во многом превосходя последние как по параметрам доходности, так и по показателям надежности и ликвидности вложений.</w:t>
      </w:r>
    </w:p>
    <w:p w:rsidR="00EE7923" w:rsidRPr="00E070C0" w:rsidRDefault="00EE7923" w:rsidP="00E070C0">
      <w:pPr>
        <w:pStyle w:val="a6"/>
        <w:widowControl w:val="0"/>
        <w:ind w:firstLine="709"/>
      </w:pPr>
      <w:r w:rsidRPr="00E070C0">
        <w:t xml:space="preserve">Традиционно считается, что инвестиции в государственные облигации – безрисковые. Потому и доходность государственных облигаций на 4-5% годовых ниже доходности корпоративных облигаций. Государственные облигации размещаются и обращаются в секции государственных ценных бумаг на ММВБ. Рынок государственных облигаций характеризуется высокой ликвидностью и большими объемами эмиссии. Этим объясняется привлекательность рынка для банковского капитала. </w:t>
      </w:r>
    </w:p>
    <w:p w:rsidR="00EE7923" w:rsidRPr="00E070C0" w:rsidRDefault="00EE7923" w:rsidP="00E070C0">
      <w:pPr>
        <w:widowControl w:val="0"/>
        <w:spacing w:after="0" w:line="360" w:lineRule="auto"/>
        <w:ind w:firstLine="709"/>
        <w:jc w:val="both"/>
        <w:rPr>
          <w:rFonts w:ascii="Times New Roman" w:hAnsi="Times New Roman"/>
          <w:sz w:val="28"/>
          <w:szCs w:val="28"/>
        </w:rPr>
      </w:pPr>
    </w:p>
    <w:p w:rsidR="00E070C0" w:rsidRDefault="00E070C0">
      <w:pPr>
        <w:rPr>
          <w:rFonts w:ascii="Times New Roman" w:hAnsi="Times New Roman"/>
          <w:sz w:val="28"/>
          <w:szCs w:val="28"/>
        </w:rPr>
      </w:pPr>
      <w:r>
        <w:rPr>
          <w:rFonts w:ascii="Times New Roman" w:hAnsi="Times New Roman"/>
          <w:sz w:val="28"/>
          <w:szCs w:val="28"/>
        </w:rPr>
        <w:br w:type="page"/>
      </w:r>
    </w:p>
    <w:p w:rsidR="00EE7923" w:rsidRPr="00E070C0" w:rsidRDefault="00EE7923" w:rsidP="00E070C0">
      <w:pPr>
        <w:widowControl w:val="0"/>
        <w:spacing w:after="0" w:line="360" w:lineRule="auto"/>
        <w:rPr>
          <w:rFonts w:ascii="Times New Roman" w:hAnsi="Times New Roman"/>
          <w:b/>
          <w:sz w:val="28"/>
          <w:szCs w:val="28"/>
        </w:rPr>
      </w:pPr>
      <w:r w:rsidRPr="00E070C0">
        <w:rPr>
          <w:rFonts w:ascii="Times New Roman" w:hAnsi="Times New Roman"/>
          <w:b/>
          <w:sz w:val="28"/>
          <w:szCs w:val="28"/>
        </w:rPr>
        <w:t>Список литературы</w:t>
      </w:r>
    </w:p>
    <w:p w:rsidR="00E070C0" w:rsidRDefault="00E070C0" w:rsidP="00E070C0">
      <w:pPr>
        <w:widowControl w:val="0"/>
        <w:spacing w:after="0" w:line="360" w:lineRule="auto"/>
        <w:rPr>
          <w:rFonts w:ascii="Times New Roman" w:hAnsi="Times New Roman"/>
          <w:sz w:val="28"/>
          <w:szCs w:val="28"/>
        </w:rPr>
      </w:pPr>
    </w:p>
    <w:p w:rsidR="00EE7923" w:rsidRPr="00E070C0" w:rsidRDefault="00EE7923" w:rsidP="00E070C0">
      <w:pPr>
        <w:widowControl w:val="0"/>
        <w:spacing w:after="0" w:line="360" w:lineRule="auto"/>
        <w:rPr>
          <w:rFonts w:ascii="Times New Roman" w:hAnsi="Times New Roman"/>
          <w:sz w:val="28"/>
          <w:szCs w:val="28"/>
        </w:rPr>
      </w:pPr>
      <w:r w:rsidRPr="00E070C0">
        <w:rPr>
          <w:rFonts w:ascii="Times New Roman" w:hAnsi="Times New Roman"/>
          <w:sz w:val="28"/>
          <w:szCs w:val="28"/>
        </w:rPr>
        <w:t>1. Федеральный закон "О рынке ценных бумаг" от 22.04.1996 N 39-ФЗ.</w:t>
      </w:r>
    </w:p>
    <w:p w:rsidR="00EE7923" w:rsidRPr="00E070C0" w:rsidRDefault="00EE7923" w:rsidP="00E070C0">
      <w:pPr>
        <w:widowControl w:val="0"/>
        <w:spacing w:after="0" w:line="360" w:lineRule="auto"/>
        <w:rPr>
          <w:rFonts w:ascii="Times New Roman" w:hAnsi="Times New Roman"/>
          <w:sz w:val="28"/>
          <w:szCs w:val="28"/>
        </w:rPr>
      </w:pPr>
      <w:r w:rsidRPr="00E070C0">
        <w:rPr>
          <w:rFonts w:ascii="Times New Roman" w:hAnsi="Times New Roman"/>
          <w:sz w:val="28"/>
          <w:szCs w:val="28"/>
        </w:rPr>
        <w:t>2. Инвестиции. Учебник под ред. Ковалева В.В. и др. М-2006 г.</w:t>
      </w:r>
    </w:p>
    <w:p w:rsidR="00EE7923" w:rsidRPr="00E070C0" w:rsidRDefault="00EE7923" w:rsidP="00E070C0">
      <w:pPr>
        <w:widowControl w:val="0"/>
        <w:spacing w:after="0" w:line="360" w:lineRule="auto"/>
        <w:rPr>
          <w:rFonts w:ascii="Times New Roman" w:hAnsi="Times New Roman"/>
          <w:sz w:val="28"/>
          <w:szCs w:val="28"/>
        </w:rPr>
      </w:pPr>
      <w:r w:rsidRPr="00E070C0">
        <w:rPr>
          <w:rFonts w:ascii="Times New Roman" w:hAnsi="Times New Roman"/>
          <w:sz w:val="28"/>
          <w:szCs w:val="28"/>
        </w:rPr>
        <w:t>3. Жуков Е.Ф. Ценные бумаги и фондовые рынки. М., Банки и биржи, 1995.</w:t>
      </w:r>
    </w:p>
    <w:p w:rsidR="00EE7923" w:rsidRPr="00E070C0" w:rsidRDefault="00EE7923" w:rsidP="00E070C0">
      <w:pPr>
        <w:widowControl w:val="0"/>
        <w:spacing w:after="0" w:line="360" w:lineRule="auto"/>
        <w:rPr>
          <w:rFonts w:ascii="Times New Roman" w:hAnsi="Times New Roman"/>
          <w:sz w:val="28"/>
          <w:szCs w:val="28"/>
        </w:rPr>
      </w:pPr>
      <w:r w:rsidRPr="00E070C0">
        <w:rPr>
          <w:rFonts w:ascii="Times New Roman" w:hAnsi="Times New Roman"/>
          <w:sz w:val="28"/>
          <w:szCs w:val="28"/>
        </w:rPr>
        <w:t>4. Муравьева A. Кому дать взаймы? // Новости рынка недвижимости, № 23 от 27.06.2005.</w:t>
      </w:r>
    </w:p>
    <w:p w:rsidR="00EE7923" w:rsidRPr="00E070C0" w:rsidRDefault="00EE7923" w:rsidP="00E070C0">
      <w:pPr>
        <w:widowControl w:val="0"/>
        <w:spacing w:after="0" w:line="360" w:lineRule="auto"/>
        <w:rPr>
          <w:rFonts w:ascii="Times New Roman" w:hAnsi="Times New Roman"/>
          <w:sz w:val="28"/>
          <w:szCs w:val="28"/>
        </w:rPr>
      </w:pPr>
      <w:r w:rsidRPr="00E070C0">
        <w:rPr>
          <w:rFonts w:ascii="Times New Roman" w:hAnsi="Times New Roman"/>
          <w:sz w:val="28"/>
          <w:szCs w:val="28"/>
        </w:rPr>
        <w:t>5. Ткаченко М. Несомнительная привлекательность. За последнее время доходность по облигациям в России сильно выросла // Акционерный вестник, № 3 (52), 2008 год.</w:t>
      </w:r>
    </w:p>
    <w:p w:rsidR="00EE7923" w:rsidRPr="00E070C0" w:rsidRDefault="00EE7923" w:rsidP="00E070C0">
      <w:pPr>
        <w:widowControl w:val="0"/>
        <w:spacing w:after="0" w:line="360" w:lineRule="auto"/>
        <w:rPr>
          <w:rFonts w:ascii="Times New Roman" w:hAnsi="Times New Roman"/>
          <w:sz w:val="28"/>
          <w:szCs w:val="28"/>
        </w:rPr>
      </w:pPr>
      <w:r w:rsidRPr="00E070C0">
        <w:rPr>
          <w:rFonts w:ascii="Times New Roman" w:hAnsi="Times New Roman"/>
          <w:sz w:val="28"/>
          <w:szCs w:val="28"/>
        </w:rPr>
        <w:t>6. Современные российские облигации // Электронная публикация http://www.fora-capital.ru/5/bonds3.php.</w:t>
      </w:r>
    </w:p>
    <w:p w:rsidR="00EE7923" w:rsidRPr="00E070C0" w:rsidRDefault="00EE7923" w:rsidP="00E070C0">
      <w:pPr>
        <w:widowControl w:val="0"/>
        <w:spacing w:after="0" w:line="360" w:lineRule="auto"/>
        <w:rPr>
          <w:rFonts w:ascii="Times New Roman" w:hAnsi="Times New Roman"/>
          <w:sz w:val="28"/>
          <w:szCs w:val="28"/>
        </w:rPr>
      </w:pPr>
      <w:bookmarkStart w:id="0" w:name="_GoBack"/>
      <w:bookmarkEnd w:id="0"/>
    </w:p>
    <w:sectPr w:rsidR="00EE7923" w:rsidRPr="00E070C0" w:rsidSect="00E070C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B82" w:rsidRDefault="00697B82" w:rsidP="005B2E3A">
      <w:pPr>
        <w:spacing w:after="0" w:line="240" w:lineRule="auto"/>
      </w:pPr>
      <w:r>
        <w:separator/>
      </w:r>
    </w:p>
  </w:endnote>
  <w:endnote w:type="continuationSeparator" w:id="0">
    <w:p w:rsidR="00697B82" w:rsidRDefault="00697B82" w:rsidP="005B2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B82" w:rsidRDefault="00697B82" w:rsidP="005B2E3A">
      <w:pPr>
        <w:spacing w:after="0" w:line="240" w:lineRule="auto"/>
      </w:pPr>
      <w:r>
        <w:separator/>
      </w:r>
    </w:p>
  </w:footnote>
  <w:footnote w:type="continuationSeparator" w:id="0">
    <w:p w:rsidR="00697B82" w:rsidRDefault="00697B82" w:rsidP="005B2E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471CD"/>
    <w:multiLevelType w:val="hybridMultilevel"/>
    <w:tmpl w:val="682AA350"/>
    <w:lvl w:ilvl="0" w:tplc="EFDEB746">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5E40769"/>
    <w:multiLevelType w:val="hybridMultilevel"/>
    <w:tmpl w:val="682AA350"/>
    <w:lvl w:ilvl="0" w:tplc="EFDEB746">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38806A4"/>
    <w:multiLevelType w:val="hybridMultilevel"/>
    <w:tmpl w:val="682AA350"/>
    <w:lvl w:ilvl="0" w:tplc="EFDEB746">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93C7A98"/>
    <w:multiLevelType w:val="hybridMultilevel"/>
    <w:tmpl w:val="B98009DE"/>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nsid w:val="6D3A26B0"/>
    <w:multiLevelType w:val="hybridMultilevel"/>
    <w:tmpl w:val="E54876E4"/>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655"/>
    <w:rsid w:val="000C6A5F"/>
    <w:rsid w:val="00290BD2"/>
    <w:rsid w:val="002D3225"/>
    <w:rsid w:val="0031287E"/>
    <w:rsid w:val="003A0C2C"/>
    <w:rsid w:val="0041714B"/>
    <w:rsid w:val="00435CD9"/>
    <w:rsid w:val="005B2E3A"/>
    <w:rsid w:val="00697B82"/>
    <w:rsid w:val="00B05DEF"/>
    <w:rsid w:val="00B7102C"/>
    <w:rsid w:val="00C2648B"/>
    <w:rsid w:val="00CC6A7B"/>
    <w:rsid w:val="00E070C0"/>
    <w:rsid w:val="00EA1635"/>
    <w:rsid w:val="00EE0CAE"/>
    <w:rsid w:val="00EE7923"/>
    <w:rsid w:val="00F62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9B7C0D-4B3D-42C1-9E2E-86621647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635"/>
    <w:pPr>
      <w:spacing w:after="200" w:line="276" w:lineRule="auto"/>
    </w:pPr>
    <w:rPr>
      <w:sz w:val="22"/>
      <w:szCs w:val="22"/>
    </w:rPr>
  </w:style>
  <w:style w:type="paragraph" w:styleId="1">
    <w:name w:val="heading 1"/>
    <w:basedOn w:val="a"/>
    <w:next w:val="a"/>
    <w:link w:val="10"/>
    <w:uiPriority w:val="99"/>
    <w:qFormat/>
    <w:rsid w:val="0041714B"/>
    <w:pPr>
      <w:keepNext/>
      <w:tabs>
        <w:tab w:val="left" w:pos="851"/>
      </w:tabs>
      <w:spacing w:after="0" w:line="360" w:lineRule="auto"/>
      <w:jc w:val="center"/>
      <w:outlineLvl w:val="0"/>
    </w:pPr>
    <w:rPr>
      <w:rFonts w:ascii="Times New Roman" w:hAnsi="Times New Roman"/>
      <w:b/>
      <w:bCs/>
      <w:noProof/>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B2E3A"/>
    <w:pPr>
      <w:spacing w:after="0" w:line="240" w:lineRule="auto"/>
    </w:pPr>
    <w:rPr>
      <w:sz w:val="20"/>
      <w:szCs w:val="20"/>
    </w:rPr>
  </w:style>
  <w:style w:type="paragraph" w:styleId="a5">
    <w:name w:val="List Paragraph"/>
    <w:basedOn w:val="a"/>
    <w:uiPriority w:val="34"/>
    <w:qFormat/>
    <w:rsid w:val="00F62655"/>
    <w:pPr>
      <w:ind w:left="720"/>
      <w:contextualSpacing/>
    </w:pPr>
  </w:style>
  <w:style w:type="paragraph" w:customStyle="1" w:styleId="a6">
    <w:name w:val="Курсовик Знак"/>
    <w:basedOn w:val="a"/>
    <w:uiPriority w:val="99"/>
    <w:rsid w:val="00F62655"/>
    <w:pPr>
      <w:spacing w:after="0" w:line="360" w:lineRule="auto"/>
      <w:ind w:firstLine="567"/>
      <w:jc w:val="both"/>
    </w:pPr>
    <w:rPr>
      <w:rFonts w:ascii="Times New Roman" w:hAnsi="Times New Roman"/>
      <w:kern w:val="28"/>
      <w:sz w:val="28"/>
      <w:szCs w:val="28"/>
    </w:rPr>
  </w:style>
  <w:style w:type="paragraph" w:customStyle="1" w:styleId="a7">
    <w:name w:val="Курсовик"/>
    <w:basedOn w:val="a"/>
    <w:uiPriority w:val="99"/>
    <w:rsid w:val="00F62655"/>
    <w:pPr>
      <w:spacing w:after="0" w:line="360" w:lineRule="auto"/>
      <w:ind w:firstLine="567"/>
      <w:jc w:val="both"/>
    </w:pPr>
    <w:rPr>
      <w:rFonts w:ascii="Times New Roman" w:hAnsi="Times New Roman"/>
      <w:kern w:val="28"/>
      <w:sz w:val="28"/>
      <w:szCs w:val="28"/>
    </w:rPr>
  </w:style>
  <w:style w:type="character" w:customStyle="1" w:styleId="10">
    <w:name w:val="Заголовок 1 Знак"/>
    <w:link w:val="1"/>
    <w:uiPriority w:val="99"/>
    <w:locked/>
    <w:rsid w:val="0041714B"/>
    <w:rPr>
      <w:rFonts w:ascii="Times New Roman" w:hAnsi="Times New Roman" w:cs="Times New Roman"/>
      <w:b/>
      <w:bCs/>
      <w:noProof/>
      <w:sz w:val="28"/>
      <w:szCs w:val="28"/>
      <w:lang w:val="uk-UA"/>
    </w:rPr>
  </w:style>
  <w:style w:type="character" w:customStyle="1" w:styleId="a4">
    <w:name w:val="Текст сноски Знак"/>
    <w:link w:val="a3"/>
    <w:uiPriority w:val="99"/>
    <w:semiHidden/>
    <w:locked/>
    <w:rsid w:val="005B2E3A"/>
    <w:rPr>
      <w:rFonts w:cs="Times New Roman"/>
      <w:sz w:val="20"/>
      <w:szCs w:val="20"/>
    </w:rPr>
  </w:style>
  <w:style w:type="character" w:styleId="a8">
    <w:name w:val="footnote reference"/>
    <w:uiPriority w:val="99"/>
    <w:rsid w:val="005B2E3A"/>
    <w:rPr>
      <w:rFonts w:cs="Times New Roman"/>
      <w:vertAlign w:val="superscript"/>
    </w:rPr>
  </w:style>
  <w:style w:type="character" w:styleId="a9">
    <w:name w:val="Hyperlink"/>
    <w:uiPriority w:val="99"/>
    <w:unhideWhenUsed/>
    <w:rsid w:val="00EE792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758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3042</Words>
  <Characters>17340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Левченко</dc:creator>
  <cp:keywords/>
  <dc:description/>
  <cp:lastModifiedBy>admin</cp:lastModifiedBy>
  <cp:revision>2</cp:revision>
  <dcterms:created xsi:type="dcterms:W3CDTF">2014-03-12T20:43:00Z</dcterms:created>
  <dcterms:modified xsi:type="dcterms:W3CDTF">2014-03-12T20:43:00Z</dcterms:modified>
</cp:coreProperties>
</file>